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 w14:paraId="4B14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 w14:paraId="0AAFC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年度三门峡市软科学研究项目指南</w:t>
      </w:r>
    </w:p>
    <w:p w14:paraId="0151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7803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项目选题要以习近平新时代中国特色社会主义思想为指导，围绕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贯彻党的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十大精神和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市委市政府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中心工作开展研究，为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锚定“两个确保”、实施“十大战略”、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围绕“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13561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”工作布局、“新河文山农”五篇大文章，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提供决策参考或咨询服务。</w:t>
      </w:r>
    </w:p>
    <w:p w14:paraId="3EC2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项目指导思想</w:t>
      </w:r>
    </w:p>
    <w:p w14:paraId="1C6AB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对国家、省、市当前或长远的决策和管理具有重要意义；</w:t>
      </w:r>
    </w:p>
    <w:p w14:paraId="07B4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具有重大经济效益、社会效益、科学价值，对推动软科学的发展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经济、科技、社会协调发展，推动决策民主化、科学化和管理现代化、规范化具有重要意义；</w:t>
      </w:r>
    </w:p>
    <w:p w14:paraId="5DDF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研究目标明确，研究内容清楚、翔实，研究方法科学、先进，有关数据、信息和背景材料具有较好的基础。</w:t>
      </w:r>
    </w:p>
    <w:p w14:paraId="319E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二、申报领域</w:t>
      </w:r>
    </w:p>
    <w:p w14:paraId="5D49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（一）专项软科学研究</w:t>
      </w:r>
    </w:p>
    <w:p w14:paraId="65D6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科技创新与产业创新融合发展培育新质生产力路径研究</w:t>
      </w:r>
    </w:p>
    <w:p w14:paraId="0F83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推进实体经济和数字经济深度融合实践路径研究</w:t>
      </w:r>
    </w:p>
    <w:p w14:paraId="02D3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人工智能赋能新材料研发新范式研究</w:t>
      </w:r>
    </w:p>
    <w:p w14:paraId="67A9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科技创新力量、要素配置、人才队伍体系化建制化协同化对策研究</w:t>
      </w:r>
    </w:p>
    <w:p w14:paraId="598D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5.数字政府建设路径研究</w:t>
      </w:r>
    </w:p>
    <w:p w14:paraId="1890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6.完善科技计划项目管理制度政策研究</w:t>
      </w:r>
    </w:p>
    <w:p w14:paraId="2007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7.优化财政科技经费分配和管理使用机制研究</w:t>
      </w:r>
    </w:p>
    <w:p w14:paraId="2BAB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8.创新平台绩效考核评估方法和评价指标体系研究</w:t>
      </w:r>
    </w:p>
    <w:p w14:paraId="69B17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9.科技创新人才与优势产业融合发展路径研究</w:t>
      </w:r>
    </w:p>
    <w:p w14:paraId="5021A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10.科技成果转化路径与优化对策研究</w:t>
      </w:r>
    </w:p>
    <w:p w14:paraId="52F2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11.科技成果资源共享与高效利用对策研究</w:t>
      </w:r>
    </w:p>
    <w:p w14:paraId="65D3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12.新材料产业体系构建与实践路径研究</w:t>
      </w:r>
    </w:p>
    <w:p w14:paraId="4605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13.黄河流域文化遗产保护和创新研究</w:t>
      </w:r>
    </w:p>
    <w:p w14:paraId="15E68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14.矿山固废绿色综合利用研究</w:t>
      </w:r>
    </w:p>
    <w:p w14:paraId="22B0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15.天鹅湾科创走廊建设研究</w:t>
      </w:r>
    </w:p>
    <w:p w14:paraId="7F33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16.县域科技创新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评价实施路径研究</w:t>
      </w:r>
    </w:p>
    <w:p w14:paraId="4732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17.创新平台体系建设研究</w:t>
      </w:r>
    </w:p>
    <w:p w14:paraId="159A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18.加快三门峡市中试基地建设研究</w:t>
      </w:r>
    </w:p>
    <w:p w14:paraId="431B0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19.规上工业企业研发活动全覆盖路径研究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</w:p>
    <w:p w14:paraId="5CA2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20.科技资源配置效率评价及优化路径研究</w:t>
      </w:r>
    </w:p>
    <w:p w14:paraId="4B0A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21.培育发展未来产业的方向、路径与对策研究</w:t>
      </w:r>
    </w:p>
    <w:p w14:paraId="0951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22.科技计划项目经费绩效评价研究</w:t>
      </w:r>
    </w:p>
    <w:p w14:paraId="7321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23.青年科技人才培养研究</w:t>
      </w:r>
    </w:p>
    <w:p w14:paraId="6EC71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24.一流科技人才现状及对策研究</w:t>
      </w:r>
    </w:p>
    <w:p w14:paraId="4C26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25.科技创新支撑平安三门峡建设对策研究</w:t>
      </w:r>
    </w:p>
    <w:p w14:paraId="2264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26.防范化解科技安全重大风险对策研究</w:t>
      </w:r>
    </w:p>
    <w:p w14:paraId="787E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27.乡村振兴与人居环境整治理论与实践</w:t>
      </w:r>
    </w:p>
    <w:p w14:paraId="2509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28.科技服务业做大做强研究</w:t>
      </w:r>
    </w:p>
    <w:p w14:paraId="45199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958" w:leftChars="304" w:right="0" w:rightChars="0" w:hanging="320" w:hangingChars="1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29.科技企业孵化器和众创空间建设的路径和对策研</w:t>
      </w:r>
    </w:p>
    <w:p w14:paraId="5B319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30.提升我市装备制造业自主创新能力对策建议</w:t>
      </w:r>
    </w:p>
    <w:p w14:paraId="37C08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31.数字文化产业创新发展研究</w:t>
      </w:r>
    </w:p>
    <w:p w14:paraId="5424F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32.优化医疗保障公共服务机制研究</w:t>
      </w:r>
    </w:p>
    <w:p w14:paraId="0FB79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33.深化事业单位改革问题研究</w:t>
      </w:r>
    </w:p>
    <w:p w14:paraId="65859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34.践行总体国家安全观的政策协同与长效机制研究 </w:t>
      </w:r>
    </w:p>
    <w:p w14:paraId="6B6B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35.产业技术研究体系改革与创新探索</w:t>
      </w:r>
    </w:p>
    <w:p w14:paraId="45903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36.科研创新支撑中医药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的对策研究</w:t>
      </w:r>
    </w:p>
    <w:p w14:paraId="3D3F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37.以民法典有效实施为抓手推进法治政府建设</w:t>
      </w:r>
    </w:p>
    <w:p w14:paraId="29CD8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38.习近平法治思想引领法治三门峡建设实践研究 </w:t>
      </w:r>
    </w:p>
    <w:p w14:paraId="2A85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39.政务大数据安全治理体系研究</w:t>
      </w:r>
    </w:p>
    <w:p w14:paraId="70E122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40.探索人工智能在生产、办公、生活等场景应用研究</w:t>
      </w:r>
    </w:p>
    <w:p w14:paraId="01CC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）自拟命题软科学研究</w:t>
      </w:r>
    </w:p>
    <w:p w14:paraId="4E0F3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1.落实“13561”工作布局和12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个重点产业链方面：围绕我市绿色转型、创新驱动开展研究；围绕建设黄河流域生态保护和高质量发展示范城市、黄河文化传承创新引领城市、省际区域现代化中心城市开展研究；围绕科教强市、产业强市、生态强市、文化强市、开放强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等问题开展研究；围绕壮大工业经济、绿色经济、文旅经济、开放经济、城市经济、县域经济开展研究；围绕铝基新材料、铜基新材料、现代黄金、半导体新材料、化工新材料、绿色建材、先进装备、新能源汽车及电池、电子信息、生物医药、绿色食品、酒饮品12个重点产业链等问题开展研究。</w:t>
      </w:r>
    </w:p>
    <w:p w14:paraId="54AB7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建设省际区域创新中心方面：围绕建设一流创新平台（整合重组实验室体系、建设特色创新平台、加强三门峡产业技术研究中心建设、推进中试基地建设）、凝练一流创新课题（实施重大创新项目、提升产业链创新效能、深化数字赋能产业创新）、培育一流创新主体（提升企业创新主体地位、激励企业加大研发投入、加强创新产品推广应用）、汇聚一流创新人才（集聚高端创新人才、激发人才创新活力、完善人才评价激励机制）、建立一流创新制度（完善科技项目管理机制、健全创新激励保障机制、完善科研评价考核机制、建立开放协同创新机制）开展相关评价分析、建设路径、政策措施等研究。</w:t>
      </w:r>
    </w:p>
    <w:p w14:paraId="4286E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推动三门峡市高质量发展方面：围绕夯实党的建设工作开展研究；中国式现代化建设三门峡实践；深化落实重大国家战略；资源型城市向创新型城市转型；培育发展战略性新兴产业和创新龙头企业、高新技术企业、科技型中小企业等问题开展研究；围绕碳中和碳达峰、污染防治、生态建设、环保等问题开展研究；围绕中医药发展、科普、现代农业、新型城镇化、新型建筑模式、公共卫生、节能与环保、产教融合、文化科技融合、军民协同创新等问题开展研究；人工智能赋能产业发展研究；围绕平安三门峡建设、法治政府建设、智慧消防、安全消防、防灾减灾救灾、污染综合防治、智慧警务、科技安全、科技保密、反恐怖主义犯罪、禁毒、戒毒与戒网瘾、人口老龄化、健康养老、残疾人保障关爱、文化科技融合、历史文化保护与传承、公共服务及公益事业、共同富裕等问题开展研究。</w:t>
      </w:r>
      <w:bookmarkStart w:id="0" w:name="_GoBack"/>
      <w:bookmarkEnd w:id="0"/>
    </w:p>
    <w:p w14:paraId="03681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深化科技体制改革方面：构建任务导向型关键核心技术攻关体系，加强基础研究力度，健全符合科研活动规律的评价体系和考核机制，科技伦理治理和科研诚信建设等方面开展研究；围绕市财政科技计划执行、以信任和绩效为核心的科研经费管理、科研类事业单位管理体制机制创新等方面进行研究。</w:t>
      </w:r>
    </w:p>
    <w:p w14:paraId="47229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科技成果转化体系建设方面：重点围绕加强企业主导的产学研融合、科技型企业梯次培育、促进资源要素向企业集聚等方面开展研究；研究科技金融创新发展的路径，探索科技金融发展的创新模式和相应的配套政策等；围绕构建科技成果转移转化体系、职务科技成果改革、高校科研院所收入分配改革、科研人员薪酬制度改革等方面开展研究。</w:t>
      </w:r>
    </w:p>
    <w:p w14:paraId="3123B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6.市委市政府十四五期间重点关注的方向。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A40CE">
    <w:pPr>
      <w:pStyle w:val="8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5B6E5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5B6E5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612B7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3612B7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DB49">
    <w:pPr>
      <w:spacing w:line="1" w:lineRule="atLeast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GQzMzU0OGQzMjZjNjczOGNiNmUxMTYyYTM4ZjYifQ=="/>
  </w:docVars>
  <w:rsids>
    <w:rsidRoot w:val="2AE10D84"/>
    <w:rsid w:val="009C09EE"/>
    <w:rsid w:val="05D57C00"/>
    <w:rsid w:val="0682505F"/>
    <w:rsid w:val="07F4584C"/>
    <w:rsid w:val="10384E8E"/>
    <w:rsid w:val="1131555B"/>
    <w:rsid w:val="117D1BAF"/>
    <w:rsid w:val="14B22D17"/>
    <w:rsid w:val="15453F8A"/>
    <w:rsid w:val="194E06FE"/>
    <w:rsid w:val="1E481805"/>
    <w:rsid w:val="1E762DC1"/>
    <w:rsid w:val="1EFB350D"/>
    <w:rsid w:val="206472C6"/>
    <w:rsid w:val="209B3BA7"/>
    <w:rsid w:val="23814682"/>
    <w:rsid w:val="28FF3C9A"/>
    <w:rsid w:val="2AE10D84"/>
    <w:rsid w:val="2E60513A"/>
    <w:rsid w:val="2E8B4098"/>
    <w:rsid w:val="35902FF5"/>
    <w:rsid w:val="37F032B2"/>
    <w:rsid w:val="394E401B"/>
    <w:rsid w:val="396D301F"/>
    <w:rsid w:val="40833636"/>
    <w:rsid w:val="44570B1D"/>
    <w:rsid w:val="458D460F"/>
    <w:rsid w:val="4D0B431B"/>
    <w:rsid w:val="4D6E2F78"/>
    <w:rsid w:val="4EAE1DAC"/>
    <w:rsid w:val="518A5EA7"/>
    <w:rsid w:val="56EE72D6"/>
    <w:rsid w:val="57153775"/>
    <w:rsid w:val="57F86DA5"/>
    <w:rsid w:val="5D0E5BDE"/>
    <w:rsid w:val="5FED10F1"/>
    <w:rsid w:val="6AF04411"/>
    <w:rsid w:val="6E286C5B"/>
    <w:rsid w:val="6FFA31A3"/>
    <w:rsid w:val="733D0B73"/>
    <w:rsid w:val="73A11C59"/>
    <w:rsid w:val="77D46EFB"/>
    <w:rsid w:val="79132AA2"/>
    <w:rsid w:val="791561CD"/>
    <w:rsid w:val="7A0D129F"/>
    <w:rsid w:val="7A82098B"/>
    <w:rsid w:val="7C3201A7"/>
    <w:rsid w:val="7E103536"/>
    <w:rsid w:val="EB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"/>
    <w:basedOn w:val="1"/>
    <w:qFormat/>
    <w:uiPriority w:val="0"/>
    <w:pPr>
      <w:spacing w:afterLines="0" w:afterAutospacing="0" w:line="560" w:lineRule="exact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2274</Characters>
  <Lines>0</Lines>
  <Paragraphs>0</Paragraphs>
  <TotalTime>41</TotalTime>
  <ScaleCrop>false</ScaleCrop>
  <LinksUpToDate>false</LinksUpToDate>
  <CharactersWithSpaces>2277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2023-11-17T17:38:00Z</dcterms:created>
  <dc:creator>珂</dc:creator>
  <cp:lastModifiedBy>技术范（博）          besos</cp:lastModifiedBy>
  <cp:lastPrinted>2024-12-05T14:53:00Z</cp:lastPrinted>
  <dcterms:modified xsi:type="dcterms:W3CDTF">2024-12-11T09:30:49Z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2F17C076D0074B1D9C8B54E10E7E38ED_13</vt:lpwstr>
  </property>
</Properties>
</file>