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大标宋简体" w:hAnsi="方正大标宋简体" w:eastAsia="方正大标宋简体" w:cs="方正大标宋简体"/>
          <w:b w:val="0"/>
          <w:bCs/>
          <w:color w:val="auto"/>
          <w:sz w:val="44"/>
          <w:szCs w:val="44"/>
        </w:rPr>
      </w:pPr>
      <w:r>
        <w:rPr>
          <w:rFonts w:hint="eastAsia" w:ascii="方正大标宋简体" w:hAnsi="方正大标宋简体" w:eastAsia="方正大标宋简体" w:cs="方正大标宋简体"/>
          <w:b w:val="0"/>
          <w:bCs/>
          <w:color w:val="auto"/>
          <w:sz w:val="44"/>
          <w:szCs w:val="44"/>
        </w:rPr>
        <w:t>三门峡市科技支撑乡村振兴实施办法</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宋体" w:hAnsi="宋体" w:eastAsia="宋体" w:cs="宋体"/>
          <w:b/>
          <w:color w:val="auto"/>
          <w:sz w:val="44"/>
          <w:szCs w:val="44"/>
        </w:rPr>
      </w:pPr>
    </w:p>
    <w:p>
      <w:pPr>
        <w:pStyle w:val="10"/>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0" w:firstLineChars="0"/>
        <w:jc w:val="center"/>
        <w:textAlignment w:val="auto"/>
        <w:rPr>
          <w:rFonts w:ascii="黑体" w:hAnsi="黑体" w:eastAsia="黑体" w:cs="黑体"/>
          <w:bCs/>
          <w:color w:val="auto"/>
          <w:sz w:val="32"/>
          <w:szCs w:val="32"/>
        </w:rPr>
      </w:pPr>
      <w:r>
        <w:rPr>
          <w:rFonts w:hint="eastAsia" w:ascii="黑体" w:hAnsi="黑体" w:eastAsia="黑体" w:cs="黑体"/>
          <w:bCs/>
          <w:color w:val="auto"/>
          <w:sz w:val="32"/>
          <w:szCs w:val="32"/>
          <w:lang w:val="en-US" w:eastAsia="zh-CN"/>
        </w:rPr>
        <w:t xml:space="preserve"> </w:t>
      </w:r>
      <w:r>
        <w:rPr>
          <w:rFonts w:hint="eastAsia" w:ascii="黑体" w:hAnsi="黑体" w:eastAsia="黑体" w:cs="黑体"/>
          <w:bCs/>
          <w:color w:val="auto"/>
          <w:sz w:val="32"/>
          <w:szCs w:val="32"/>
        </w:rPr>
        <w:t>总</w:t>
      </w:r>
      <w:r>
        <w:rPr>
          <w:rFonts w:hint="eastAsia" w:ascii="黑体" w:hAnsi="黑体" w:eastAsia="黑体" w:cs="黑体"/>
          <w:bCs/>
          <w:color w:val="auto"/>
          <w:sz w:val="32"/>
          <w:szCs w:val="32"/>
          <w:lang w:val="en-US" w:eastAsia="zh-CN"/>
        </w:rPr>
        <w:t xml:space="preserve">  </w:t>
      </w:r>
      <w:r>
        <w:rPr>
          <w:rFonts w:hint="eastAsia" w:ascii="黑体" w:hAnsi="黑体" w:eastAsia="黑体" w:cs="黑体"/>
          <w:bCs/>
          <w:color w:val="auto"/>
          <w:sz w:val="32"/>
          <w:szCs w:val="32"/>
        </w:rPr>
        <w:t>则</w:t>
      </w:r>
      <w:bookmarkStart w:id="0" w:name="_GoBack"/>
      <w:bookmarkEnd w:id="0"/>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b/>
          <w:bCs/>
          <w:color w:val="auto"/>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仿宋_GB2312" w:eastAsia="仿宋_GB2312" w:cs="仿宋_GB2312"/>
          <w:color w:val="auto"/>
          <w:sz w:val="32"/>
          <w:szCs w:val="32"/>
        </w:rPr>
      </w:pPr>
      <w:r>
        <w:rPr>
          <w:rFonts w:hint="eastAsia" w:ascii="黑体" w:hAnsi="黑体" w:eastAsia="黑体" w:cs="黑体"/>
          <w:b w:val="0"/>
          <w:bCs w:val="0"/>
          <w:color w:val="auto"/>
          <w:sz w:val="32"/>
          <w:szCs w:val="32"/>
        </w:rPr>
        <w:t>第一条</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为进一步强化科技在乡村振兴中的支撑引领作用，落实《中共三门峡市委三门峡市人民政府关于推进乡村振兴战略的实施意见》（三发〔2018〕1号）和《三门峡市科技支撑乡村振兴三年行动计划》，加快培育农业农村发展新动能，结合我市实际，特制定本办法。</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仿宋_GB2312" w:eastAsia="仿宋_GB2312" w:cs="仿宋_GB2312"/>
          <w:color w:val="auto"/>
          <w:sz w:val="32"/>
          <w:szCs w:val="32"/>
        </w:rPr>
      </w:pPr>
      <w:r>
        <w:rPr>
          <w:rFonts w:hint="eastAsia" w:ascii="黑体" w:hAnsi="黑体" w:eastAsia="黑体" w:cs="黑体"/>
          <w:b w:val="0"/>
          <w:bCs w:val="0"/>
          <w:color w:val="auto"/>
          <w:sz w:val="32"/>
          <w:szCs w:val="32"/>
        </w:rPr>
        <w:t>第二条</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按照乡村振兴的目标要求，大力开展农业科技创新和成果转化应用。引进和推广农业新技术，完善和提升科技服务体系,培育和强化科技创新能力,持续和深入推进科技扶贫,发展和壮大科技人才队伍,为全市乡村振兴发展提供强有力的科技支撑。</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仿宋_GB2312" w:eastAsia="仿宋_GB2312" w:cs="仿宋_GB2312"/>
          <w:color w:val="auto"/>
          <w:sz w:val="32"/>
          <w:szCs w:val="32"/>
        </w:rPr>
      </w:pPr>
      <w:r>
        <w:rPr>
          <w:rFonts w:hint="eastAsia" w:ascii="黑体" w:hAnsi="黑体" w:eastAsia="黑体" w:cs="黑体"/>
          <w:b w:val="0"/>
          <w:bCs w:val="0"/>
          <w:color w:val="auto"/>
          <w:sz w:val="32"/>
          <w:szCs w:val="32"/>
        </w:rPr>
        <w:t>第三条</w:t>
      </w:r>
      <w:r>
        <w:rPr>
          <w:rFonts w:hint="eastAsia" w:ascii="仿宋_GB2312" w:hAnsi="仿宋_GB2312" w:eastAsia="仿宋_GB2312" w:cs="仿宋_GB2312"/>
          <w:b/>
          <w:bCs/>
          <w:color w:val="auto"/>
          <w:sz w:val="32"/>
          <w:szCs w:val="32"/>
          <w:lang w:val="en-US" w:eastAsia="zh-CN"/>
        </w:rPr>
        <w:t xml:space="preserve">  </w:t>
      </w:r>
      <w:r>
        <w:rPr>
          <w:rFonts w:hint="eastAsia" w:ascii="仿宋_GB2312" w:hAnsi="仿宋_GB2312" w:eastAsia="仿宋_GB2312" w:cs="仿宋_GB2312"/>
          <w:color w:val="auto"/>
          <w:sz w:val="32"/>
          <w:szCs w:val="32"/>
        </w:rPr>
        <w:t>科技支撑乡村振兴坚持“创新驱动、需求导向、协同推进、示范引领”的原则,强化研发转化一批关键共性技术成果及现代工程技术, 提升乡村振兴的科技储备与成果供给能力;强化基层科技创新力量，优化科技创新资源和力量布局;强化合作攻关和资源共享，推动农科教企高效协同和深度融合;强化新技术、新成果的集成应用，充分发挥科技示范引领作用。</w:t>
      </w:r>
    </w:p>
    <w:p>
      <w:pPr>
        <w:keepNext w:val="0"/>
        <w:keepLines w:val="0"/>
        <w:pageBreakBefore w:val="0"/>
        <w:widowControl w:val="0"/>
        <w:kinsoku/>
        <w:wordWrap/>
        <w:overflowPunct/>
        <w:topLinePunct w:val="0"/>
        <w:autoSpaceDE/>
        <w:autoSpaceDN/>
        <w:bidi w:val="0"/>
        <w:adjustRightInd/>
        <w:snapToGrid/>
        <w:spacing w:line="600" w:lineRule="exact"/>
        <w:ind w:firstLine="800" w:firstLineChars="250"/>
        <w:textAlignment w:val="auto"/>
        <w:rPr>
          <w:rFonts w:ascii="仿宋_GB2312" w:hAnsi="仿宋_GB2312" w:eastAsia="仿宋_GB2312" w:cs="仿宋_GB2312"/>
          <w:color w:val="auto"/>
          <w:sz w:val="32"/>
          <w:szCs w:val="32"/>
        </w:rPr>
      </w:pPr>
    </w:p>
    <w:p>
      <w:pPr>
        <w:pStyle w:val="10"/>
        <w:keepNext w:val="0"/>
        <w:keepLines w:val="0"/>
        <w:pageBreakBefore w:val="0"/>
        <w:widowControl w:val="0"/>
        <w:numPr>
          <w:ilvl w:val="0"/>
          <w:numId w:val="2"/>
        </w:numPr>
        <w:kinsoku/>
        <w:wordWrap/>
        <w:overflowPunct/>
        <w:topLinePunct w:val="0"/>
        <w:autoSpaceDE/>
        <w:autoSpaceDN/>
        <w:bidi w:val="0"/>
        <w:adjustRightInd/>
        <w:snapToGrid/>
        <w:spacing w:line="600" w:lineRule="exact"/>
        <w:ind w:firstLine="0" w:firstLineChars="0"/>
        <w:jc w:val="center"/>
        <w:textAlignment w:val="auto"/>
        <w:rPr>
          <w:rFonts w:ascii="黑体" w:hAnsi="黑体" w:eastAsia="黑体" w:cs="黑体"/>
          <w:bCs/>
          <w:color w:val="auto"/>
          <w:sz w:val="32"/>
          <w:szCs w:val="32"/>
        </w:rPr>
      </w:pPr>
      <w:r>
        <w:rPr>
          <w:rFonts w:hint="eastAsia" w:ascii="黑体" w:hAnsi="黑体" w:eastAsia="黑体" w:cs="黑体"/>
          <w:bCs/>
          <w:color w:val="auto"/>
          <w:sz w:val="32"/>
          <w:szCs w:val="32"/>
        </w:rPr>
        <w:t xml:space="preserve"> 引进和推广农业新技术</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b/>
          <w:bCs/>
          <w:color w:val="auto"/>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仿宋_GB2312" w:eastAsia="仿宋_GB2312" w:cs="仿宋_GB2312"/>
          <w:color w:val="auto"/>
          <w:sz w:val="32"/>
          <w:szCs w:val="32"/>
        </w:rPr>
      </w:pPr>
      <w:r>
        <w:rPr>
          <w:rFonts w:hint="eastAsia" w:ascii="黑体" w:hAnsi="黑体" w:eastAsia="黑体" w:cs="黑体"/>
          <w:b w:val="0"/>
          <w:bCs w:val="0"/>
          <w:color w:val="auto"/>
          <w:sz w:val="32"/>
          <w:szCs w:val="32"/>
        </w:rPr>
        <w:t>第四条</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开展新品种引进推广。围绕果品</w:t>
      </w:r>
      <w:r>
        <w:rPr>
          <w:rFonts w:hint="eastAsia" w:ascii="仿宋_GB2312" w:hAnsi="仿宋_GB2312" w:eastAsia="仿宋_GB2312" w:cs="仿宋_GB2312"/>
          <w:b/>
          <w:color w:val="auto"/>
          <w:sz w:val="32"/>
          <w:szCs w:val="32"/>
        </w:rPr>
        <w:t>、</w:t>
      </w:r>
      <w:r>
        <w:rPr>
          <w:rFonts w:hint="eastAsia" w:ascii="仿宋_GB2312" w:hAnsi="仿宋_GB2312" w:eastAsia="仿宋_GB2312" w:cs="仿宋_GB2312"/>
          <w:color w:val="auto"/>
          <w:sz w:val="32"/>
          <w:szCs w:val="32"/>
        </w:rPr>
        <w:t>食用菌、畜牧、蔬菜、中药材等特色农业，选育和引进一批优良作物和畜禽新品种。重点支持农业科研单位及相关企业开展新品种引进试验研究，优先列入科技计划项目，研究总结新品种推广配套技术及模式，推动全市现代种业健康发展，为乡村振兴提供种业资源保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仿宋_GB2312" w:eastAsia="仿宋_GB2312" w:cs="仿宋_GB2312"/>
          <w:color w:val="auto"/>
          <w:sz w:val="32"/>
          <w:szCs w:val="32"/>
        </w:rPr>
      </w:pPr>
      <w:r>
        <w:rPr>
          <w:rFonts w:hint="eastAsia" w:ascii="黑体" w:hAnsi="黑体" w:eastAsia="黑体" w:cs="黑体"/>
          <w:b w:val="0"/>
          <w:bCs w:val="0"/>
          <w:color w:val="auto"/>
          <w:sz w:val="32"/>
          <w:szCs w:val="32"/>
        </w:rPr>
        <w:t>第五条</w:t>
      </w:r>
      <w:r>
        <w:rPr>
          <w:rFonts w:hint="eastAsia" w:ascii="仿宋_GB2312" w:hAnsi="仿宋_GB2312" w:eastAsia="仿宋_GB2312" w:cs="仿宋_GB2312"/>
          <w:b/>
          <w:bCs/>
          <w:color w:val="auto"/>
          <w:sz w:val="32"/>
          <w:szCs w:val="32"/>
          <w:lang w:val="en-US" w:eastAsia="zh-CN"/>
        </w:rPr>
        <w:t xml:space="preserve">  </w:t>
      </w:r>
      <w:r>
        <w:rPr>
          <w:rFonts w:hint="eastAsia" w:ascii="仿宋_GB2312" w:hAnsi="仿宋_GB2312" w:eastAsia="仿宋_GB2312" w:cs="仿宋_GB2312"/>
          <w:color w:val="auto"/>
          <w:sz w:val="32"/>
          <w:szCs w:val="32"/>
        </w:rPr>
        <w:t>加快农业关键技术的研发推广。强化绿色、安全、优质发展导向，重点研发和推广农业节水、循环农业、面源污染治理、肥药减施增效和农产品质量安全等技术，培育和建设一批农业科技创新示范基地。支持相关单位开展农产品产后预处理、贮藏保鲜、智能分级、商品化处理等新技术的研发与推广，重点开展低温冷冻干燥、膜分离技术、酶技术、信息技术等高新技术应用。推广移动互联网、大数据、云计算、物联网等新一代信息技术在农业生产、经营、管理和服务等环节应用。重点支持无人机、智能农机、水肥一体化、实时监控等感知检测设备应用。</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150"/>
        <w:textAlignment w:val="auto"/>
        <w:rPr>
          <w:rFonts w:ascii="仿宋_GB2312" w:hAnsi="仿宋_GB2312" w:eastAsia="仿宋_GB2312" w:cs="仿宋_GB2312"/>
          <w:color w:val="auto"/>
          <w:sz w:val="32"/>
          <w:szCs w:val="32"/>
        </w:rPr>
      </w:pPr>
    </w:p>
    <w:p>
      <w:pPr>
        <w:pStyle w:val="10"/>
        <w:keepNext w:val="0"/>
        <w:keepLines w:val="0"/>
        <w:pageBreakBefore w:val="0"/>
        <w:widowControl w:val="0"/>
        <w:numPr>
          <w:ilvl w:val="0"/>
          <w:numId w:val="3"/>
        </w:numPr>
        <w:kinsoku/>
        <w:wordWrap/>
        <w:overflowPunct/>
        <w:topLinePunct w:val="0"/>
        <w:autoSpaceDE/>
        <w:autoSpaceDN/>
        <w:bidi w:val="0"/>
        <w:adjustRightInd/>
        <w:snapToGrid/>
        <w:spacing w:line="600" w:lineRule="exact"/>
        <w:ind w:firstLine="0" w:firstLineChars="0"/>
        <w:jc w:val="center"/>
        <w:textAlignment w:val="auto"/>
        <w:rPr>
          <w:rFonts w:ascii="黑体" w:hAnsi="黑体" w:eastAsia="黑体" w:cs="黑体"/>
          <w:bCs/>
          <w:color w:val="auto"/>
          <w:sz w:val="32"/>
          <w:szCs w:val="32"/>
        </w:rPr>
      </w:pPr>
      <w:r>
        <w:rPr>
          <w:rFonts w:hint="eastAsia" w:ascii="黑体" w:hAnsi="黑体" w:eastAsia="黑体" w:cs="黑体"/>
          <w:bCs/>
          <w:color w:val="auto"/>
          <w:sz w:val="32"/>
          <w:szCs w:val="32"/>
          <w:lang w:val="en-US" w:eastAsia="zh-CN"/>
        </w:rPr>
        <w:t xml:space="preserve"> </w:t>
      </w:r>
      <w:r>
        <w:rPr>
          <w:rFonts w:hint="eastAsia" w:ascii="黑体" w:hAnsi="黑体" w:eastAsia="黑体" w:cs="黑体"/>
          <w:bCs/>
          <w:color w:val="auto"/>
          <w:sz w:val="32"/>
          <w:szCs w:val="32"/>
        </w:rPr>
        <w:t>完善和提升农业科技服务体系</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b/>
          <w:color w:val="auto"/>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仿宋_GB2312" w:eastAsia="仿宋_GB2312" w:cs="仿宋_GB2312"/>
          <w:b/>
          <w:color w:val="auto"/>
          <w:sz w:val="32"/>
          <w:szCs w:val="32"/>
        </w:rPr>
      </w:pPr>
      <w:r>
        <w:rPr>
          <w:rFonts w:hint="eastAsia" w:ascii="黑体" w:hAnsi="黑体" w:eastAsia="黑体" w:cs="黑体"/>
          <w:b w:val="0"/>
          <w:bCs w:val="0"/>
          <w:color w:val="auto"/>
          <w:sz w:val="32"/>
          <w:szCs w:val="32"/>
        </w:rPr>
        <w:t>第六条</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构建农业农村发展科技示范体系。大力建设符合乡村振兴战略要求的农业科技园区、科技示范乡镇、科技示范基地,对新建国家级、省级农业科技园区分别奖补50万元、30万元，对新认定的</w:t>
      </w:r>
      <w:r>
        <w:rPr>
          <w:rFonts w:hint="eastAsia" w:ascii="仿宋_GB2312" w:hAnsi="仿宋_GB2312" w:eastAsia="仿宋_GB2312" w:cs="仿宋_GB2312"/>
          <w:color w:val="auto"/>
          <w:sz w:val="32"/>
          <w:szCs w:val="32"/>
          <w:lang w:val="en-US" w:eastAsia="zh-CN"/>
        </w:rPr>
        <w:t>省级</w:t>
      </w:r>
      <w:r>
        <w:rPr>
          <w:rFonts w:hint="eastAsia" w:ascii="仿宋_GB2312" w:hAnsi="仿宋_GB2312" w:eastAsia="仿宋_GB2312" w:cs="仿宋_GB2312"/>
          <w:color w:val="auto"/>
          <w:sz w:val="32"/>
          <w:szCs w:val="32"/>
        </w:rPr>
        <w:t>乡村振兴科技示范基地</w:t>
      </w:r>
      <w:r>
        <w:rPr>
          <w:rFonts w:hint="eastAsia" w:ascii="仿宋_GB2312" w:hAnsi="仿宋_GB2312" w:eastAsia="仿宋_GB2312" w:cs="仿宋_GB2312"/>
          <w:color w:val="auto"/>
          <w:sz w:val="32"/>
          <w:szCs w:val="32"/>
          <w:lang w:val="en-US" w:eastAsia="zh-CN"/>
        </w:rPr>
        <w:t>奖补</w:t>
      </w:r>
      <w:r>
        <w:rPr>
          <w:rFonts w:hint="eastAsia" w:ascii="仿宋_GB2312" w:hAnsi="仿宋_GB2312" w:eastAsia="仿宋_GB2312" w:cs="仿宋_GB2312"/>
          <w:color w:val="auto"/>
          <w:sz w:val="32"/>
          <w:szCs w:val="32"/>
        </w:rPr>
        <w:t>10万元。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仿宋_GB2312" w:eastAsia="仿宋_GB2312" w:cs="仿宋_GB2312"/>
          <w:color w:val="auto"/>
          <w:sz w:val="32"/>
          <w:szCs w:val="32"/>
        </w:rPr>
      </w:pPr>
      <w:r>
        <w:rPr>
          <w:rFonts w:hint="eastAsia" w:ascii="黑体" w:hAnsi="黑体" w:eastAsia="黑体" w:cs="黑体"/>
          <w:b w:val="0"/>
          <w:bCs w:val="0"/>
          <w:color w:val="auto"/>
          <w:sz w:val="32"/>
          <w:szCs w:val="32"/>
        </w:rPr>
        <w:t>第七条</w:t>
      </w:r>
      <w:r>
        <w:rPr>
          <w:rFonts w:hint="eastAsia" w:ascii="仿宋_GB2312" w:hAnsi="仿宋_GB2312" w:eastAsia="仿宋_GB2312" w:cs="仿宋_GB2312"/>
          <w:b/>
          <w:bCs/>
          <w:color w:val="auto"/>
          <w:sz w:val="32"/>
          <w:szCs w:val="32"/>
          <w:lang w:val="en-US" w:eastAsia="zh-CN"/>
        </w:rPr>
        <w:t xml:space="preserve">  </w:t>
      </w:r>
      <w:r>
        <w:rPr>
          <w:rFonts w:hint="eastAsia" w:ascii="仿宋_GB2312" w:hAnsi="仿宋_GB2312" w:eastAsia="仿宋_GB2312" w:cs="仿宋_GB2312"/>
          <w:color w:val="auto"/>
          <w:sz w:val="32"/>
          <w:szCs w:val="32"/>
        </w:rPr>
        <w:t>完善和加强农业科研及推广服务体系。支持涉农科研单位科技创新，改善科研条件，提高科研人员水平，鼓励其开展科研合作开发,壮大科研实力。支持农业科技服务机构建设和发展，加强基层农业技术推广人员培训，提升科技推广服务能力。每年组织参加或举办3-5次农业科技成果交易会、农业科技考察现场观摩等活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仿宋_GB2312" w:eastAsia="仿宋_GB2312" w:cs="仿宋_GB2312"/>
          <w:color w:val="auto"/>
          <w:sz w:val="32"/>
          <w:szCs w:val="32"/>
        </w:rPr>
      </w:pPr>
      <w:r>
        <w:rPr>
          <w:rFonts w:hint="eastAsia" w:ascii="黑体" w:hAnsi="黑体" w:eastAsia="黑体" w:cs="黑体"/>
          <w:b w:val="0"/>
          <w:bCs w:val="0"/>
          <w:color w:val="auto"/>
          <w:sz w:val="32"/>
          <w:szCs w:val="32"/>
        </w:rPr>
        <w:t>第八条</w:t>
      </w:r>
      <w:r>
        <w:rPr>
          <w:rFonts w:hint="eastAsia" w:ascii="仿宋_GB2312" w:hAnsi="仿宋_GB2312" w:eastAsia="仿宋_GB2312" w:cs="仿宋_GB2312"/>
          <w:b/>
          <w:bCs/>
          <w:color w:val="auto"/>
          <w:sz w:val="32"/>
          <w:szCs w:val="32"/>
          <w:lang w:val="en-US" w:eastAsia="zh-CN"/>
        </w:rPr>
        <w:t xml:space="preserve">  </w:t>
      </w:r>
      <w:r>
        <w:rPr>
          <w:rFonts w:hint="eastAsia" w:ascii="仿宋_GB2312" w:hAnsi="仿宋_GB2312" w:eastAsia="仿宋_GB2312" w:cs="仿宋_GB2312"/>
          <w:bCs/>
          <w:color w:val="auto"/>
          <w:sz w:val="32"/>
          <w:szCs w:val="32"/>
        </w:rPr>
        <w:t>建设科技示范乡镇</w:t>
      </w: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color w:val="auto"/>
          <w:sz w:val="32"/>
          <w:szCs w:val="32"/>
        </w:rPr>
        <w:t>积极培育5个乡村振兴科技示范乡镇, 对新认定的省级乡村振兴科技示范乡镇奖补30万元，探索科技支撑乡村振兴发展的有效模式和经验,示范引领全市乡村振兴发展。</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仿宋_GB2312" w:eastAsia="仿宋_GB2312" w:cs="仿宋_GB2312"/>
          <w:color w:val="auto"/>
          <w:sz w:val="32"/>
          <w:szCs w:val="32"/>
        </w:rPr>
      </w:pPr>
    </w:p>
    <w:p>
      <w:pPr>
        <w:pStyle w:val="10"/>
        <w:keepNext w:val="0"/>
        <w:keepLines w:val="0"/>
        <w:pageBreakBefore w:val="0"/>
        <w:widowControl w:val="0"/>
        <w:numPr>
          <w:ilvl w:val="0"/>
          <w:numId w:val="4"/>
        </w:numPr>
        <w:kinsoku/>
        <w:wordWrap/>
        <w:overflowPunct/>
        <w:topLinePunct w:val="0"/>
        <w:autoSpaceDE/>
        <w:autoSpaceDN/>
        <w:bidi w:val="0"/>
        <w:adjustRightInd/>
        <w:snapToGrid/>
        <w:spacing w:line="600" w:lineRule="exact"/>
        <w:ind w:firstLine="0" w:firstLineChars="0"/>
        <w:jc w:val="center"/>
        <w:textAlignment w:val="auto"/>
        <w:rPr>
          <w:rFonts w:ascii="黑体" w:hAnsi="黑体" w:eastAsia="黑体" w:cs="黑体"/>
          <w:bCs/>
          <w:color w:val="auto"/>
          <w:sz w:val="32"/>
          <w:szCs w:val="32"/>
        </w:rPr>
      </w:pPr>
      <w:r>
        <w:rPr>
          <w:rFonts w:hint="eastAsia" w:ascii="黑体" w:hAnsi="黑体" w:eastAsia="黑体" w:cs="黑体"/>
          <w:bCs/>
          <w:color w:val="auto"/>
          <w:sz w:val="32"/>
          <w:szCs w:val="32"/>
        </w:rPr>
        <w:t xml:space="preserve"> 培育和强化农村科技创新能力</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b/>
          <w:bCs/>
          <w:color w:val="auto"/>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仿宋_GB2312" w:eastAsia="仿宋_GB2312" w:cs="仿宋_GB2312"/>
          <w:color w:val="auto"/>
          <w:sz w:val="32"/>
          <w:szCs w:val="32"/>
        </w:rPr>
      </w:pPr>
      <w:r>
        <w:rPr>
          <w:rFonts w:hint="eastAsia" w:ascii="黑体" w:hAnsi="黑体" w:eastAsia="黑体" w:cs="黑体"/>
          <w:b w:val="0"/>
          <w:bCs w:val="0"/>
          <w:color w:val="auto"/>
          <w:sz w:val="32"/>
          <w:szCs w:val="32"/>
        </w:rPr>
        <w:t>第九条</w:t>
      </w:r>
      <w:r>
        <w:rPr>
          <w:rFonts w:hint="eastAsia" w:ascii="仿宋_GB2312" w:hAnsi="仿宋_GB2312" w:eastAsia="仿宋_GB2312" w:cs="仿宋_GB2312"/>
          <w:b/>
          <w:bCs/>
          <w:color w:val="auto"/>
          <w:sz w:val="32"/>
          <w:szCs w:val="32"/>
          <w:lang w:val="en-US" w:eastAsia="zh-CN"/>
        </w:rPr>
        <w:t xml:space="preserve">  </w:t>
      </w:r>
      <w:r>
        <w:rPr>
          <w:rFonts w:hint="eastAsia" w:ascii="仿宋_GB2312" w:hAnsi="仿宋_GB2312" w:eastAsia="仿宋_GB2312" w:cs="仿宋_GB2312"/>
          <w:color w:val="auto"/>
          <w:sz w:val="32"/>
          <w:szCs w:val="32"/>
        </w:rPr>
        <w:t>培育创新型农业科技经营主体。围绕我市优势特色产业,</w:t>
      </w:r>
      <w:r>
        <w:rPr>
          <w:rFonts w:hint="eastAsia" w:ascii="仿宋_GB2312" w:hAnsi="仿宋_GB2312" w:eastAsia="仿宋_GB2312" w:cs="仿宋_GB2312"/>
          <w:color w:val="auto"/>
          <w:sz w:val="32"/>
          <w:szCs w:val="32"/>
          <w:shd w:val="clear" w:color="auto" w:fill="FFFFFF"/>
        </w:rPr>
        <w:t>依托重点乡镇，从科技资金、项目等方面大力</w:t>
      </w:r>
      <w:r>
        <w:rPr>
          <w:rFonts w:hint="eastAsia" w:ascii="仿宋_GB2312" w:hAnsi="仿宋_GB2312" w:eastAsia="仿宋_GB2312" w:cs="仿宋_GB2312"/>
          <w:color w:val="auto"/>
          <w:sz w:val="32"/>
          <w:szCs w:val="32"/>
        </w:rPr>
        <w:t xml:space="preserve">支持新型家庭农场、农业企业、合作社、科技创新联盟等发展，命名表彰一批在科技创新中表现突出的农业经营主体典型，宣传先进事迹，推广创新经验，充分发挥在乡村振兴发展中的科技主力军作用。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仿宋_GB2312" w:eastAsia="仿宋_GB2312" w:cs="仿宋_GB2312"/>
          <w:color w:val="auto"/>
          <w:sz w:val="32"/>
          <w:szCs w:val="32"/>
        </w:rPr>
      </w:pPr>
      <w:r>
        <w:rPr>
          <w:rFonts w:hint="eastAsia" w:ascii="黑体" w:hAnsi="黑体" w:eastAsia="黑体" w:cs="黑体"/>
          <w:b w:val="0"/>
          <w:bCs w:val="0"/>
          <w:color w:val="auto"/>
          <w:sz w:val="32"/>
          <w:szCs w:val="32"/>
        </w:rPr>
        <w:t>第十条</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强化农业科技人员创新创业。引导科技人员下乡创新创业，鼓励支持在乡、回乡农民开展创新创业活动,激发农民创新创业热情和活力。支持农业企业和经营主体以各种形式承担科技项目, 引导科技贷、科技保等金融产品向农业企业倾斜</w:t>
      </w:r>
      <w:r>
        <w:rPr>
          <w:rFonts w:hint="eastAsia" w:ascii="仿宋_GB2312" w:hAnsi="仿宋_GB2312" w:eastAsia="仿宋_GB2312" w:cs="仿宋_GB2312"/>
          <w:b/>
          <w:color w:val="auto"/>
          <w:sz w:val="32"/>
          <w:szCs w:val="32"/>
        </w:rPr>
        <w:t>，</w:t>
      </w:r>
      <w:r>
        <w:rPr>
          <w:rFonts w:hint="eastAsia" w:ascii="仿宋_GB2312" w:hAnsi="仿宋_GB2312" w:eastAsia="仿宋_GB2312" w:cs="仿宋_GB2312"/>
          <w:color w:val="auto"/>
          <w:sz w:val="32"/>
          <w:szCs w:val="32"/>
        </w:rPr>
        <w:t>发挥科技投入的引导作用。</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150"/>
        <w:textAlignment w:val="auto"/>
        <w:rPr>
          <w:rFonts w:ascii="仿宋_GB2312" w:hAnsi="仿宋_GB2312" w:eastAsia="仿宋_GB2312" w:cs="仿宋_GB2312"/>
          <w:color w:val="auto"/>
          <w:sz w:val="32"/>
          <w:szCs w:val="32"/>
        </w:rPr>
      </w:pPr>
    </w:p>
    <w:p>
      <w:pPr>
        <w:keepNext w:val="0"/>
        <w:keepLines w:val="0"/>
        <w:pageBreakBefore w:val="0"/>
        <w:widowControl w:val="0"/>
        <w:numPr>
          <w:ilvl w:val="0"/>
          <w:numId w:val="5"/>
        </w:numPr>
        <w:kinsoku/>
        <w:wordWrap/>
        <w:overflowPunct/>
        <w:topLinePunct w:val="0"/>
        <w:autoSpaceDE/>
        <w:autoSpaceDN/>
        <w:bidi w:val="0"/>
        <w:adjustRightInd/>
        <w:snapToGrid/>
        <w:spacing w:line="600" w:lineRule="exact"/>
        <w:jc w:val="center"/>
        <w:textAlignment w:val="auto"/>
        <w:rPr>
          <w:rFonts w:ascii="黑体" w:hAnsi="黑体" w:eastAsia="黑体" w:cs="黑体"/>
          <w:color w:val="auto"/>
          <w:sz w:val="32"/>
          <w:szCs w:val="32"/>
        </w:rPr>
      </w:pPr>
      <w:r>
        <w:rPr>
          <w:rFonts w:hint="eastAsia" w:ascii="黑体" w:hAnsi="黑体" w:eastAsia="黑体" w:cs="黑体"/>
          <w:color w:val="auto"/>
          <w:sz w:val="32"/>
          <w:szCs w:val="32"/>
        </w:rPr>
        <w:t xml:space="preserve"> 持续和深入推进科技扶贫</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b/>
          <w:bCs/>
          <w:color w:val="auto"/>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仿宋_GB2312" w:eastAsia="仿宋_GB2312" w:cs="仿宋_GB2312"/>
          <w:b/>
          <w:color w:val="auto"/>
          <w:sz w:val="32"/>
          <w:szCs w:val="32"/>
        </w:rPr>
      </w:pPr>
      <w:r>
        <w:rPr>
          <w:rFonts w:hint="eastAsia" w:ascii="黑体" w:hAnsi="黑体" w:eastAsia="黑体" w:cs="黑体"/>
          <w:b w:val="0"/>
          <w:bCs w:val="0"/>
          <w:color w:val="auto"/>
          <w:sz w:val="32"/>
          <w:szCs w:val="32"/>
        </w:rPr>
        <w:t>第十一条</w:t>
      </w:r>
      <w:r>
        <w:rPr>
          <w:rFonts w:hint="eastAsia" w:ascii="仿宋_GB2312" w:hAnsi="仿宋_GB2312" w:eastAsia="仿宋_GB2312" w:cs="仿宋_GB2312"/>
          <w:b/>
          <w:bCs/>
          <w:color w:val="auto"/>
          <w:sz w:val="32"/>
          <w:szCs w:val="32"/>
          <w:lang w:val="en-US" w:eastAsia="zh-CN"/>
        </w:rPr>
        <w:t xml:space="preserve">  </w:t>
      </w:r>
      <w:r>
        <w:rPr>
          <w:rFonts w:hint="eastAsia" w:ascii="仿宋_GB2312" w:hAnsi="仿宋_GB2312" w:eastAsia="仿宋_GB2312" w:cs="仿宋_GB2312"/>
          <w:color w:val="auto"/>
          <w:sz w:val="32"/>
          <w:szCs w:val="32"/>
        </w:rPr>
        <w:t>提升科技支撑引领能力。持续开展科技下乡、科技活动周等科普活动,建设科普传播基地,带动贫困群众科技素质有效提升。协调和支持市属科研院所、技术推广部门等与贫困县实现扶贫结对帮扶,重点建设食用菌、中药材、花椒、土鸡养殖等特色产业科技扶贫基地。</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仿宋_GB2312" w:eastAsia="仿宋_GB2312" w:cs="仿宋_GB2312"/>
          <w:color w:val="auto"/>
          <w:sz w:val="32"/>
          <w:szCs w:val="32"/>
        </w:rPr>
      </w:pPr>
      <w:r>
        <w:rPr>
          <w:rFonts w:hint="eastAsia" w:ascii="黑体" w:hAnsi="黑体" w:eastAsia="黑体" w:cs="黑体"/>
          <w:b w:val="0"/>
          <w:bCs w:val="0"/>
          <w:color w:val="auto"/>
          <w:sz w:val="32"/>
          <w:szCs w:val="32"/>
        </w:rPr>
        <w:t>第十二条</w:t>
      </w:r>
      <w:r>
        <w:rPr>
          <w:rFonts w:hint="eastAsia" w:ascii="仿宋_GB2312" w:hAnsi="仿宋_GB2312" w:eastAsia="仿宋_GB2312" w:cs="仿宋_GB2312"/>
          <w:b/>
          <w:bCs/>
          <w:color w:val="auto"/>
          <w:sz w:val="32"/>
          <w:szCs w:val="32"/>
        </w:rPr>
        <w:t xml:space="preserve">  </w:t>
      </w:r>
      <w:r>
        <w:rPr>
          <w:rFonts w:hint="eastAsia" w:ascii="仿宋_GB2312" w:hAnsi="仿宋_GB2312" w:eastAsia="仿宋_GB2312" w:cs="仿宋_GB2312"/>
          <w:color w:val="auto"/>
          <w:sz w:val="32"/>
          <w:szCs w:val="32"/>
        </w:rPr>
        <w:t>深入推行科技特派员制度。以全市大中专院校、科研院所和参与技术推广服务的企事业单位为依托,整合科技创新资源和力量,按照“产业组团、县级组队、服务到点、统筹调度”的组织形式,深入推进科技特派员助力脱贫攻坚工程，给予市派科技特派员每人每年1—2万元工作经费，给予市派产业科技特派员服务团每团每年10万元工作经费。依托产业特派员服务团和产业特派员服务队，开展技术服务活动，为我市脱贫攻坚提供有力保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仿宋_GB2312" w:eastAsia="仿宋_GB2312" w:cs="仿宋_GB2312"/>
          <w:color w:val="auto"/>
          <w:sz w:val="32"/>
          <w:szCs w:val="32"/>
        </w:rPr>
      </w:pPr>
    </w:p>
    <w:p>
      <w:pPr>
        <w:keepNext w:val="0"/>
        <w:keepLines w:val="0"/>
        <w:pageBreakBefore w:val="0"/>
        <w:widowControl w:val="0"/>
        <w:numPr>
          <w:ilvl w:val="0"/>
          <w:numId w:val="5"/>
        </w:numPr>
        <w:kinsoku/>
        <w:wordWrap/>
        <w:overflowPunct/>
        <w:topLinePunct w:val="0"/>
        <w:autoSpaceDE/>
        <w:autoSpaceDN/>
        <w:bidi w:val="0"/>
        <w:adjustRightInd/>
        <w:snapToGrid/>
        <w:spacing w:line="600" w:lineRule="exact"/>
        <w:jc w:val="center"/>
        <w:textAlignment w:val="auto"/>
        <w:rPr>
          <w:rFonts w:ascii="黑体" w:hAnsi="黑体" w:eastAsia="黑体" w:cs="黑体"/>
          <w:color w:val="auto"/>
          <w:sz w:val="32"/>
          <w:szCs w:val="32"/>
        </w:rPr>
      </w:pPr>
      <w:r>
        <w:rPr>
          <w:rFonts w:hint="eastAsia" w:ascii="黑体" w:hAnsi="黑体" w:eastAsia="黑体" w:cs="黑体"/>
          <w:color w:val="auto"/>
          <w:sz w:val="32"/>
          <w:szCs w:val="32"/>
        </w:rPr>
        <w:t xml:space="preserve"> 发展和壮大农村科技人才队伍</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b/>
          <w:color w:val="auto"/>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仿宋_GB2312" w:eastAsia="仿宋_GB2312" w:cs="仿宋_GB2312"/>
          <w:color w:val="auto"/>
          <w:sz w:val="32"/>
          <w:szCs w:val="32"/>
        </w:rPr>
      </w:pPr>
      <w:r>
        <w:rPr>
          <w:rFonts w:hint="eastAsia" w:ascii="黑体" w:hAnsi="黑体" w:eastAsia="黑体" w:cs="黑体"/>
          <w:b w:val="0"/>
          <w:bCs w:val="0"/>
          <w:color w:val="auto"/>
          <w:sz w:val="32"/>
          <w:szCs w:val="32"/>
        </w:rPr>
        <w:t>第十三条</w:t>
      </w:r>
      <w:r>
        <w:rPr>
          <w:rFonts w:hint="eastAsia" w:ascii="仿宋_GB2312" w:hAnsi="仿宋_GB2312" w:eastAsia="仿宋_GB2312" w:cs="仿宋_GB2312"/>
          <w:color w:val="auto"/>
          <w:sz w:val="32"/>
          <w:szCs w:val="32"/>
        </w:rPr>
        <w:t xml:space="preserve">  发挥科技人才支撑作用。引导支持企业家、专家学者和各类科技人才参与“万名专家进基层”活动，鼓励高等院校、科研院所等单位专业技术人员到乡村和基层开展科技服务活动，发挥各级科技副职作用，配齐配强基层科技工作力量，强化基层科技服务能力。落实各类科技人才政策，加强科技人才队伍建设。</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仿宋_GB2312" w:eastAsia="仿宋_GB2312" w:cs="仿宋_GB2312"/>
          <w:b/>
          <w:color w:val="auto"/>
          <w:sz w:val="32"/>
          <w:szCs w:val="32"/>
        </w:rPr>
      </w:pPr>
      <w:r>
        <w:rPr>
          <w:rFonts w:hint="eastAsia" w:ascii="黑体" w:hAnsi="黑体" w:eastAsia="黑体" w:cs="黑体"/>
          <w:b w:val="0"/>
          <w:bCs w:val="0"/>
          <w:color w:val="auto"/>
          <w:sz w:val="32"/>
          <w:szCs w:val="32"/>
        </w:rPr>
        <w:t>第十四条</w:t>
      </w:r>
      <w:r>
        <w:rPr>
          <w:rFonts w:hint="eastAsia" w:ascii="仿宋_GB2312" w:hAnsi="仿宋_GB2312" w:eastAsia="仿宋_GB2312" w:cs="仿宋_GB2312"/>
          <w:color w:val="auto"/>
          <w:sz w:val="32"/>
          <w:szCs w:val="32"/>
        </w:rPr>
        <w:t xml:space="preserve">  加强农村实用技术培训。依托农业科技园区、星创天地、农业科技示范基地对返乡农民工、大学生村官、乡土人才、农村致富带头人开展创新创业技能培训,各级科技部门把技术培训列入工作目标，给予经费保障，着力培养一批爱农业、懂技术、会经营、善管理的乡村振兴科技人才队伍，为乡村振兴发展提供智力支持。</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仿宋_GB2312" w:eastAsia="仿宋_GB2312" w:cs="仿宋_GB2312"/>
          <w:b/>
          <w:color w:val="auto"/>
          <w:sz w:val="32"/>
          <w:szCs w:val="32"/>
        </w:rPr>
      </w:pPr>
      <w:r>
        <w:rPr>
          <w:rFonts w:hint="eastAsia" w:ascii="黑体" w:hAnsi="黑体" w:eastAsia="黑体" w:cs="黑体"/>
          <w:b w:val="0"/>
          <w:bCs w:val="0"/>
          <w:color w:val="auto"/>
          <w:sz w:val="32"/>
          <w:szCs w:val="32"/>
        </w:rPr>
        <w:t xml:space="preserve">第十五条 </w:t>
      </w:r>
      <w:r>
        <w:rPr>
          <w:rFonts w:hint="eastAsia" w:ascii="仿宋_GB2312" w:hAnsi="仿宋_GB2312" w:eastAsia="仿宋_GB2312" w:cs="仿宋_GB2312"/>
          <w:b/>
          <w:bCs/>
          <w:color w:val="auto"/>
          <w:sz w:val="32"/>
          <w:szCs w:val="32"/>
        </w:rPr>
        <w:t xml:space="preserve"> </w:t>
      </w:r>
      <w:r>
        <w:rPr>
          <w:rFonts w:hint="eastAsia" w:ascii="仿宋_GB2312" w:hAnsi="仿宋_GB2312" w:eastAsia="仿宋_GB2312" w:cs="仿宋_GB2312"/>
          <w:color w:val="auto"/>
          <w:sz w:val="32"/>
          <w:szCs w:val="32"/>
        </w:rPr>
        <w:t>本</w:t>
      </w:r>
      <w:r>
        <w:rPr>
          <w:rFonts w:hint="eastAsia" w:ascii="仿宋_GB2312" w:hAnsi="仿宋_GB2312" w:eastAsia="仿宋_GB2312" w:cs="仿宋_GB2312"/>
          <w:bCs/>
          <w:color w:val="auto"/>
          <w:sz w:val="32"/>
          <w:szCs w:val="32"/>
        </w:rPr>
        <w:t>办法自发布之日起实施。</w:t>
      </w:r>
    </w:p>
    <w:sectPr>
      <w:footerReference r:id="rId3" w:type="default"/>
      <w:pgSz w:w="11906" w:h="16838"/>
      <w:pgMar w:top="2098" w:right="1474" w:bottom="1984"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方正大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rPr>
        <w:sz w:val="18"/>
      </w:rPr>
      <w:pict>
        <v:shape id="_x0000_s4097" o:spid="_x0000_s4097" o:spt="202" type="#_x0000_t202" style="position:absolute;left:0pt;margin-top:0pt;height:144pt;width:144pt;mso-position-horizontal:outside;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sdt>
                <w:sdtPr>
                  <w:rPr>
                    <w:rFonts w:hint="eastAsia" w:asciiTheme="minorEastAsia" w:hAnsiTheme="minorEastAsia" w:eastAsiaTheme="minorEastAsia" w:cstheme="minorEastAsia"/>
                    <w:sz w:val="24"/>
                    <w:szCs w:val="24"/>
                  </w:rPr>
                  <w:id w:val="5379211"/>
                </w:sdtPr>
                <w:sdtEndPr>
                  <w:rPr>
                    <w:rFonts w:hint="eastAsia" w:asciiTheme="minorEastAsia" w:hAnsiTheme="minorEastAsia" w:eastAsiaTheme="minorEastAsia" w:cstheme="minorEastAsia"/>
                    <w:sz w:val="24"/>
                    <w:szCs w:val="24"/>
                  </w:rPr>
                </w:sdtEndPr>
                <w:sdtContent>
                  <w:p>
                    <w:pPr>
                      <w:pStyle w:val="4"/>
                      <w:keepNext w:val="0"/>
                      <w:keepLines w:val="0"/>
                      <w:pageBreakBefore w:val="0"/>
                      <w:widowControl w:val="0"/>
                      <w:kinsoku/>
                      <w:wordWrap/>
                      <w:overflowPunct/>
                      <w:topLinePunct w:val="0"/>
                      <w:autoSpaceDE/>
                      <w:autoSpaceDN/>
                      <w:bidi w:val="0"/>
                      <w:adjustRightInd/>
                      <w:snapToGrid w:val="0"/>
                      <w:ind w:left="420" w:leftChars="200" w:right="420" w:rightChars="20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lang w:val="zh-CN"/>
                      </w:rPr>
                      <w:t>4</w:t>
                    </w:r>
                    <w:r>
                      <w:rPr>
                        <w:rFonts w:hint="eastAsia" w:asciiTheme="minorEastAsia" w:hAnsiTheme="minorEastAsia" w:eastAsiaTheme="minorEastAsia" w:cstheme="minorEastAsia"/>
                        <w:sz w:val="28"/>
                        <w:szCs w:val="28"/>
                        <w:lang w:val="zh-CN"/>
                      </w:rPr>
                      <w:fldChar w:fldCharType="end"/>
                    </w:r>
                  </w:p>
                </w:sdtContent>
              </w:sdt>
              <w:p/>
            </w:txbxContent>
          </v:textbox>
        </v:shape>
      </w:pict>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65916F9"/>
    <w:multiLevelType w:val="singleLevel"/>
    <w:tmpl w:val="865916F9"/>
    <w:lvl w:ilvl="0" w:tentative="0">
      <w:start w:val="4"/>
      <w:numFmt w:val="chineseCounting"/>
      <w:suff w:val="space"/>
      <w:lvlText w:val="第%1章"/>
      <w:lvlJc w:val="left"/>
      <w:rPr>
        <w:rFonts w:hint="eastAsia"/>
      </w:rPr>
    </w:lvl>
  </w:abstractNum>
  <w:abstractNum w:abstractNumId="1">
    <w:nsid w:val="A8C6C7B0"/>
    <w:multiLevelType w:val="singleLevel"/>
    <w:tmpl w:val="A8C6C7B0"/>
    <w:lvl w:ilvl="0" w:tentative="0">
      <w:start w:val="3"/>
      <w:numFmt w:val="chineseCounting"/>
      <w:suff w:val="space"/>
      <w:lvlText w:val="第%1章"/>
      <w:lvlJc w:val="left"/>
      <w:rPr>
        <w:rFonts w:hint="eastAsia"/>
      </w:rPr>
    </w:lvl>
  </w:abstractNum>
  <w:abstractNum w:abstractNumId="2">
    <w:nsid w:val="C44267AD"/>
    <w:multiLevelType w:val="singleLevel"/>
    <w:tmpl w:val="C44267AD"/>
    <w:lvl w:ilvl="0" w:tentative="0">
      <w:start w:val="5"/>
      <w:numFmt w:val="chineseCounting"/>
      <w:suff w:val="space"/>
      <w:lvlText w:val="第%1章"/>
      <w:lvlJc w:val="left"/>
      <w:rPr>
        <w:rFonts w:hint="eastAsia"/>
      </w:rPr>
    </w:lvl>
  </w:abstractNum>
  <w:abstractNum w:abstractNumId="3">
    <w:nsid w:val="65EA4433"/>
    <w:multiLevelType w:val="singleLevel"/>
    <w:tmpl w:val="65EA4433"/>
    <w:lvl w:ilvl="0" w:tentative="0">
      <w:start w:val="2"/>
      <w:numFmt w:val="chineseCounting"/>
      <w:suff w:val="space"/>
      <w:lvlText w:val="第%1章"/>
      <w:lvlJc w:val="left"/>
      <w:rPr>
        <w:rFonts w:hint="eastAsia"/>
      </w:rPr>
    </w:lvl>
  </w:abstractNum>
  <w:abstractNum w:abstractNumId="4">
    <w:nsid w:val="7F213109"/>
    <w:multiLevelType w:val="singleLevel"/>
    <w:tmpl w:val="7F213109"/>
    <w:lvl w:ilvl="0" w:tentative="0">
      <w:start w:val="1"/>
      <w:numFmt w:val="chineseCounting"/>
      <w:suff w:val="space"/>
      <w:lvlText w:val="第%1章"/>
      <w:lvlJc w:val="left"/>
      <w:rPr>
        <w:rFonts w:hint="eastAsia"/>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5F4BB7"/>
    <w:rsid w:val="00040138"/>
    <w:rsid w:val="00051898"/>
    <w:rsid w:val="000B59D7"/>
    <w:rsid w:val="000F3958"/>
    <w:rsid w:val="00120BBB"/>
    <w:rsid w:val="001263E9"/>
    <w:rsid w:val="00126882"/>
    <w:rsid w:val="00127665"/>
    <w:rsid w:val="001302B5"/>
    <w:rsid w:val="00142A45"/>
    <w:rsid w:val="00147DE6"/>
    <w:rsid w:val="00154AA4"/>
    <w:rsid w:val="001638A3"/>
    <w:rsid w:val="00186774"/>
    <w:rsid w:val="00187297"/>
    <w:rsid w:val="001978DA"/>
    <w:rsid w:val="001A5B06"/>
    <w:rsid w:val="001E3362"/>
    <w:rsid w:val="001F2C25"/>
    <w:rsid w:val="001F73BC"/>
    <w:rsid w:val="00200A34"/>
    <w:rsid w:val="002432B7"/>
    <w:rsid w:val="00246FC1"/>
    <w:rsid w:val="00264754"/>
    <w:rsid w:val="002868AB"/>
    <w:rsid w:val="00297D9D"/>
    <w:rsid w:val="002A3979"/>
    <w:rsid w:val="002A6B44"/>
    <w:rsid w:val="002B1404"/>
    <w:rsid w:val="002B23C3"/>
    <w:rsid w:val="002C3333"/>
    <w:rsid w:val="002D5342"/>
    <w:rsid w:val="002E79B5"/>
    <w:rsid w:val="003378C8"/>
    <w:rsid w:val="00350AE0"/>
    <w:rsid w:val="0035357A"/>
    <w:rsid w:val="00373BF0"/>
    <w:rsid w:val="00382E4B"/>
    <w:rsid w:val="003C75A8"/>
    <w:rsid w:val="003D03ED"/>
    <w:rsid w:val="003E7A4B"/>
    <w:rsid w:val="004169B2"/>
    <w:rsid w:val="00424D45"/>
    <w:rsid w:val="00432EC7"/>
    <w:rsid w:val="004414E2"/>
    <w:rsid w:val="00444E3E"/>
    <w:rsid w:val="0045580A"/>
    <w:rsid w:val="0046447F"/>
    <w:rsid w:val="00465283"/>
    <w:rsid w:val="00486F4F"/>
    <w:rsid w:val="00497CA3"/>
    <w:rsid w:val="004B1274"/>
    <w:rsid w:val="004B3102"/>
    <w:rsid w:val="004B585F"/>
    <w:rsid w:val="004B722A"/>
    <w:rsid w:val="004C223F"/>
    <w:rsid w:val="004D65EB"/>
    <w:rsid w:val="00523D9F"/>
    <w:rsid w:val="0052505F"/>
    <w:rsid w:val="00535D57"/>
    <w:rsid w:val="0056623B"/>
    <w:rsid w:val="00584E47"/>
    <w:rsid w:val="005B60B4"/>
    <w:rsid w:val="005B7E4F"/>
    <w:rsid w:val="005F4BB7"/>
    <w:rsid w:val="005F5019"/>
    <w:rsid w:val="00611CAE"/>
    <w:rsid w:val="00616180"/>
    <w:rsid w:val="00645606"/>
    <w:rsid w:val="00652987"/>
    <w:rsid w:val="00653674"/>
    <w:rsid w:val="0066711A"/>
    <w:rsid w:val="00695123"/>
    <w:rsid w:val="006C15F9"/>
    <w:rsid w:val="00714747"/>
    <w:rsid w:val="00733775"/>
    <w:rsid w:val="00756177"/>
    <w:rsid w:val="00786EEE"/>
    <w:rsid w:val="007A0A62"/>
    <w:rsid w:val="007A384F"/>
    <w:rsid w:val="007A6603"/>
    <w:rsid w:val="007D51F2"/>
    <w:rsid w:val="00801152"/>
    <w:rsid w:val="008057CB"/>
    <w:rsid w:val="0081382A"/>
    <w:rsid w:val="008175EC"/>
    <w:rsid w:val="00822EBA"/>
    <w:rsid w:val="0084225B"/>
    <w:rsid w:val="008476F5"/>
    <w:rsid w:val="0085169A"/>
    <w:rsid w:val="00894B8E"/>
    <w:rsid w:val="008D1950"/>
    <w:rsid w:val="008D76CC"/>
    <w:rsid w:val="008E7D64"/>
    <w:rsid w:val="008F2B6E"/>
    <w:rsid w:val="009008B6"/>
    <w:rsid w:val="00914B41"/>
    <w:rsid w:val="009150F4"/>
    <w:rsid w:val="009235A2"/>
    <w:rsid w:val="00925F5C"/>
    <w:rsid w:val="00935D1D"/>
    <w:rsid w:val="00951965"/>
    <w:rsid w:val="00952DE9"/>
    <w:rsid w:val="00973B1E"/>
    <w:rsid w:val="00977EC8"/>
    <w:rsid w:val="00992FB2"/>
    <w:rsid w:val="009967ED"/>
    <w:rsid w:val="009E133A"/>
    <w:rsid w:val="009E1637"/>
    <w:rsid w:val="00A00E8F"/>
    <w:rsid w:val="00A24F44"/>
    <w:rsid w:val="00A45A07"/>
    <w:rsid w:val="00A749DE"/>
    <w:rsid w:val="00A87E3F"/>
    <w:rsid w:val="00A90A35"/>
    <w:rsid w:val="00AD596F"/>
    <w:rsid w:val="00AF6DB6"/>
    <w:rsid w:val="00B06615"/>
    <w:rsid w:val="00B2426B"/>
    <w:rsid w:val="00B33025"/>
    <w:rsid w:val="00B431F1"/>
    <w:rsid w:val="00B45410"/>
    <w:rsid w:val="00B54D45"/>
    <w:rsid w:val="00B56C03"/>
    <w:rsid w:val="00B74361"/>
    <w:rsid w:val="00B767F1"/>
    <w:rsid w:val="00B81A72"/>
    <w:rsid w:val="00B82091"/>
    <w:rsid w:val="00B84BE7"/>
    <w:rsid w:val="00B8541D"/>
    <w:rsid w:val="00BC4A6D"/>
    <w:rsid w:val="00BD06D8"/>
    <w:rsid w:val="00BE2132"/>
    <w:rsid w:val="00BE6404"/>
    <w:rsid w:val="00BF1B6B"/>
    <w:rsid w:val="00C0081B"/>
    <w:rsid w:val="00C02B25"/>
    <w:rsid w:val="00C071B9"/>
    <w:rsid w:val="00C2019C"/>
    <w:rsid w:val="00C259BE"/>
    <w:rsid w:val="00C6091A"/>
    <w:rsid w:val="00C719ED"/>
    <w:rsid w:val="00C90BBC"/>
    <w:rsid w:val="00CB7A74"/>
    <w:rsid w:val="00CC70FB"/>
    <w:rsid w:val="00CE2475"/>
    <w:rsid w:val="00CE69C1"/>
    <w:rsid w:val="00D200D6"/>
    <w:rsid w:val="00D221B5"/>
    <w:rsid w:val="00D511B7"/>
    <w:rsid w:val="00D53EA9"/>
    <w:rsid w:val="00D5423B"/>
    <w:rsid w:val="00D62DCE"/>
    <w:rsid w:val="00D65DD5"/>
    <w:rsid w:val="00D723C5"/>
    <w:rsid w:val="00D72692"/>
    <w:rsid w:val="00D80A90"/>
    <w:rsid w:val="00DA74FC"/>
    <w:rsid w:val="00DB328B"/>
    <w:rsid w:val="00DC0205"/>
    <w:rsid w:val="00DC02A5"/>
    <w:rsid w:val="00DE533A"/>
    <w:rsid w:val="00E22580"/>
    <w:rsid w:val="00E50BB9"/>
    <w:rsid w:val="00E52C0C"/>
    <w:rsid w:val="00E54FC9"/>
    <w:rsid w:val="00E67277"/>
    <w:rsid w:val="00E71DF7"/>
    <w:rsid w:val="00E81242"/>
    <w:rsid w:val="00EA059D"/>
    <w:rsid w:val="00ED4B15"/>
    <w:rsid w:val="00EF43CF"/>
    <w:rsid w:val="00F01130"/>
    <w:rsid w:val="00F01864"/>
    <w:rsid w:val="00F06C8A"/>
    <w:rsid w:val="00FB0527"/>
    <w:rsid w:val="00FD11AB"/>
    <w:rsid w:val="00FF402A"/>
    <w:rsid w:val="00FF735C"/>
    <w:rsid w:val="08E05839"/>
    <w:rsid w:val="0C49561A"/>
    <w:rsid w:val="1CBB1A5F"/>
    <w:rsid w:val="1E034BB4"/>
    <w:rsid w:val="26B440A4"/>
    <w:rsid w:val="2F6C3664"/>
    <w:rsid w:val="339D3355"/>
    <w:rsid w:val="3D774038"/>
    <w:rsid w:val="491E79AD"/>
    <w:rsid w:val="4EC77082"/>
    <w:rsid w:val="4F3A65F0"/>
    <w:rsid w:val="54336C09"/>
    <w:rsid w:val="633F506A"/>
    <w:rsid w:val="65CB63C4"/>
    <w:rsid w:val="6CBB7196"/>
    <w:rsid w:val="6E152BE3"/>
    <w:rsid w:val="7B1E37F1"/>
    <w:rsid w:val="7DBE4109"/>
    <w:rsid w:val="7FAD2DA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2"/>
    <w:qFormat/>
    <w:uiPriority w:val="0"/>
    <w:pPr>
      <w:keepNext/>
      <w:keepLines/>
      <w:spacing w:before="260" w:after="260" w:line="416" w:lineRule="auto"/>
      <w:outlineLvl w:val="1"/>
    </w:pPr>
    <w:rPr>
      <w:rFonts w:ascii="Cambria" w:hAnsi="Cambria" w:eastAsia="宋体" w:cs="Cambria"/>
      <w:b/>
      <w:bCs/>
      <w:sz w:val="32"/>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1"/>
    <w:semiHidden/>
    <w:unhideWhenUsed/>
    <w:qFormat/>
    <w:uiPriority w:val="99"/>
    <w:rPr>
      <w:sz w:val="18"/>
      <w:szCs w:val="18"/>
    </w:rPr>
  </w:style>
  <w:style w:type="paragraph" w:styleId="4">
    <w:name w:val="footer"/>
    <w:basedOn w:val="1"/>
    <w:link w:val="15"/>
    <w:unhideWhenUsed/>
    <w:qFormat/>
    <w:uiPriority w:val="99"/>
    <w:pPr>
      <w:tabs>
        <w:tab w:val="center" w:pos="4153"/>
        <w:tab w:val="right" w:pos="8306"/>
      </w:tabs>
      <w:snapToGrid w:val="0"/>
      <w:jc w:val="left"/>
    </w:pPr>
    <w:rPr>
      <w:sz w:val="18"/>
      <w:szCs w:val="18"/>
    </w:rPr>
  </w:style>
  <w:style w:type="paragraph" w:styleId="5">
    <w:name w:val="header"/>
    <w:basedOn w:val="1"/>
    <w:link w:val="14"/>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FollowedHyperlink"/>
    <w:basedOn w:val="7"/>
    <w:semiHidden/>
    <w:unhideWhenUsed/>
    <w:qFormat/>
    <w:uiPriority w:val="99"/>
    <w:rPr>
      <w:color w:val="3D3D3D"/>
      <w:u w:val="none"/>
    </w:rPr>
  </w:style>
  <w:style w:type="character" w:styleId="9">
    <w:name w:val="Hyperlink"/>
    <w:basedOn w:val="7"/>
    <w:semiHidden/>
    <w:unhideWhenUsed/>
    <w:qFormat/>
    <w:uiPriority w:val="99"/>
    <w:rPr>
      <w:color w:val="3D3D3D"/>
      <w:u w:val="none"/>
    </w:rPr>
  </w:style>
  <w:style w:type="paragraph" w:styleId="10">
    <w:name w:val="List Paragraph"/>
    <w:basedOn w:val="1"/>
    <w:qFormat/>
    <w:uiPriority w:val="34"/>
    <w:pPr>
      <w:ind w:firstLine="420" w:firstLineChars="200"/>
    </w:pPr>
  </w:style>
  <w:style w:type="character" w:customStyle="1" w:styleId="11">
    <w:name w:val="批注框文本 Char"/>
    <w:basedOn w:val="7"/>
    <w:link w:val="3"/>
    <w:semiHidden/>
    <w:qFormat/>
    <w:uiPriority w:val="99"/>
    <w:rPr>
      <w:sz w:val="18"/>
      <w:szCs w:val="18"/>
    </w:rPr>
  </w:style>
  <w:style w:type="character" w:customStyle="1" w:styleId="12">
    <w:name w:val="标题 2 Char"/>
    <w:basedOn w:val="7"/>
    <w:link w:val="2"/>
    <w:qFormat/>
    <w:uiPriority w:val="0"/>
    <w:rPr>
      <w:rFonts w:ascii="Cambria" w:hAnsi="Cambria" w:eastAsia="宋体" w:cs="Cambria"/>
      <w:b/>
      <w:bCs/>
      <w:sz w:val="32"/>
      <w:szCs w:val="32"/>
    </w:rPr>
  </w:style>
  <w:style w:type="character" w:customStyle="1" w:styleId="13">
    <w:name w:val="bsharetext"/>
    <w:basedOn w:val="7"/>
    <w:qFormat/>
    <w:uiPriority w:val="0"/>
  </w:style>
  <w:style w:type="character" w:customStyle="1" w:styleId="14">
    <w:name w:val="页眉 Char"/>
    <w:basedOn w:val="7"/>
    <w:link w:val="5"/>
    <w:semiHidden/>
    <w:qFormat/>
    <w:uiPriority w:val="99"/>
    <w:rPr>
      <w:rFonts w:asciiTheme="minorHAnsi" w:hAnsiTheme="minorHAnsi" w:eastAsiaTheme="minorEastAsia" w:cstheme="minorBidi"/>
      <w:kern w:val="2"/>
      <w:sz w:val="18"/>
      <w:szCs w:val="18"/>
    </w:rPr>
  </w:style>
  <w:style w:type="character" w:customStyle="1" w:styleId="15">
    <w:name w:val="页脚 Char"/>
    <w:basedOn w:val="7"/>
    <w:link w:val="4"/>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E0958A6-0DB4-46AC-A61A-E861455979FE}">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Pages>
  <Words>322</Words>
  <Characters>1836</Characters>
  <Lines>15</Lines>
  <Paragraphs>4</Paragraphs>
  <TotalTime>8</TotalTime>
  <ScaleCrop>false</ScaleCrop>
  <LinksUpToDate>false</LinksUpToDate>
  <CharactersWithSpaces>2154</CharactersWithSpaces>
  <Application>WPS Office_11.1.0.9305_F1E327BC-269C-435d-A152-05C5408002CA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2019-05-30T03:13:00Z</dcterms:created>
  <dc:creator>PC</dc:creator>
  <cp:lastModifiedBy>Administrator</cp:lastModifiedBy>
  <cp:lastPrinted>2019-12-16T01:40:53Z</cp:lastPrinted>
  <dcterms:modified xsi:type="dcterms:W3CDTF">2019-12-16T01:41:01Z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