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大标宋简体" w:hAnsi="方正大标宋简体" w:eastAsia="方正大标宋简体" w:cs="方正大标宋简体"/>
          <w:b w:val="0"/>
          <w:bCs/>
          <w:color w:val="auto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auto"/>
          <w:sz w:val="44"/>
          <w:szCs w:val="44"/>
        </w:rPr>
        <w:t>三门峡市县（市、区）创新驱动发展引导办法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Theme="minorEastAsia" w:hAnsiTheme="minorEastAsia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总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则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0" w:firstLineChars="196"/>
        <w:textAlignment w:val="auto"/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第一条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为更好发挥科技创新对县域经济社会发展的支撑引领作用，加快建设创新型县（市、区），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国务院办公厅关于县域创新驱动发展的若干意见》（国办发〔2017〕43号）、《科技部、国家发改委关于印发创新型城市建设工作指引的通知》（国科发创〔2016〕370号）精神，结合三门峡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引导县（市、区）创新驱动发展，坚持“创新驱动、市县联动、政企互动、示范带动”的原则，按照高质量发展的要求，引导县(市、区)加大科技创新投入、强化创新主体培育、推动创新载体建设、不断优化创新环境，加快创新型城市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本办法由市、县（市、区）联动实施，市科技局统筹协调、牵头组织。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90" w:firstLineChars="246"/>
        <w:textAlignment w:val="auto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 加大创新投入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强化财政资金导向作用，引导各类创新主体加大研发经费投入，提升研发投入强度，推动各县（市、区）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全社会研发投入占地区国民生产总值比重达到全省平均水平，创新型县（市、区）研发投入强度位居全省前列。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积极引导县（市、区）财政资金向创新驱动发展倾斜，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建立健全财政科技投入稳定增长机制，市县两级财政科技投入占一般公共预算支出比重高于全省平均水平。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落实有关企业研发补助政策，依照《河南省企业研究开发财政补助实施方案（试行）》，对已建立研发准备金制度、按规定报送《企业（单位）研发活动统计报表》的企业，采取事前备案、事后补助的方式，按企业上一年度经认定的实际研发投入一定比例给予后补助支持，资金由省、市、县财政共同负担，省级负担比例不超过50%，剩余部分由市、县两级财政各按50%分摊补贴，最高补助额度不超过400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将县（市、区）各类科技计划项目申报主体研发投入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及统计数据填报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情况作为项目支持的前置条件，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对研发投入强度大、增速明显的企事业单位和科研机构优先支持，对没有R&amp;D投入的原则上不予支持。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培育创新主体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施高新技术企业倍增工程。市县联动建设后备高新技术企业库，采取重点扶持、奖补支持、一对一辅导等措施，加速后备企业升级为高新技术企业。对首次认定和复审认定的高新技术企业分别奖补30万元、10万元；鼓励各县（市、区）出台奖励办法，对高新技术企业给予奖补。支持县（市、区）引进域外高新技术企业，对省外、市外高新技术企业整体迁入的，直接确认资格并享受首次认定奖补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第九条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Times New Roman"/>
          <w:bCs/>
          <w:color w:val="auto"/>
          <w:kern w:val="0"/>
          <w:sz w:val="32"/>
          <w:szCs w:val="32"/>
        </w:rPr>
        <w:t>实施创新龙头企业提升引领工程，鼓励县（市、区）围绕重点支柱产业和战略性新兴产业培育龙头企业，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</w:rPr>
        <w:t>支持创新龙头企业牵头承担重大科研任务和创新专项，发挥其示范引领作用。对省级创新龙头企业可给予最高400万元研发投入财政补助支持。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第十条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</w:rPr>
        <w:t xml:space="preserve">  实施科技型中小企业培育行动，支持各县（市、区）加快科技型中小企业培育发展，强化指导培训，提升群体规模，引导科技型企业向“专精特新”发展，对成长为省“科技小巨人”企业奖补30万元。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支持县（市、区）先行启动实施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转型升级创新专项，对县级财政支持额度50万元以上的项目优先列为市级创新专项，市财政按不低于50%的比例给予奖补支持，并择优推荐省级创新专项；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对县申请、市推荐、省立项的重大创新专项，市级财政统筹市科技经费按照省下拨的重大创新专项经费的20%奖补，给予最高不超过100万元的奖励支持。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建设创新载体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实施高新区创新发展提速工程。鼓励各县（市、区）依托县域产业优势，统筹布局建设高新技术产业开发区，加快创建国家、省级高新区，强化辐射带动，推动产业发展。对创建为国家级高新区的给予500万元奖励，对创建为省级高新区的给予100万元奖励，对认定为市级高新特色园区的给予50万元奖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第十三条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进建设可持续发展实验区。支持各县（市、区）以高质量发展为目标，强化科技创新引领支撑，发展接续替代产业，推进新旧动能转换，探索可持续发展机制，建设可持续发展实验区。对认定为国家级可持续发展实验区的给予300万元奖励，对认定为省级可持续发展实验区的给予100万元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第十四条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加快创新平台建设。支持各县（市、区）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zh-TW"/>
        </w:rPr>
        <w:t>围绕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/>
        </w:rPr>
        <w:t>主导支柱产业和战略新兴产业创新发展，积极创建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 w:eastAsia="zh-TW"/>
        </w:rPr>
        <w:t>工程技术研究中心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/>
        </w:rPr>
        <w:t>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 w:eastAsia="zh-TW"/>
        </w:rPr>
        <w:t>重点实验室、院士工作站等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/>
        </w:rPr>
        <w:t>各类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 w:eastAsia="zh-TW"/>
        </w:rPr>
        <w:t>创新平台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/>
        </w:rPr>
        <w:t>。对新认定的国家级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zh-TW"/>
        </w:rPr>
        <w:t>创新平台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/>
        </w:rPr>
        <w:t>奖补50万元，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zh-TW"/>
        </w:rPr>
        <w:t>省级创新平台奖补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</w:rPr>
        <w:t>30万元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zh-TW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zh-TW" w:eastAsia="zh-CN"/>
        </w:rPr>
        <w:t>根据新型研发机构绩效评价和研发经费支出等情况，可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zh-TW" w:eastAsia="zh-CN"/>
        </w:rPr>
        <w:t>对单个省重大新型研发机构、省备案新型研发机构分别给予不超过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en-US" w:eastAsia="zh-CN"/>
        </w:rPr>
        <w:t>300万元、200万元补助。</w:t>
      </w:r>
      <w:r>
        <w:rPr>
          <w:rFonts w:hint="eastAsia" w:ascii="仿宋_GB2312" w:hAnsi="Times New Roman" w:eastAsia="仿宋_GB2312" w:cs="Times New Roman"/>
          <w:bCs/>
          <w:color w:val="auto"/>
          <w:sz w:val="32"/>
          <w:szCs w:val="32"/>
          <w:lang w:val="zh-TW"/>
        </w:rPr>
        <w:t>鼓励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各县（市、区）出台奖励办法，对国家、省、市级创新平台给予奖补。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"/>
        <w:jc w:val="left"/>
        <w:textAlignment w:val="auto"/>
        <w:rPr>
          <w:rFonts w:hint="default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优化创新环境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第十五条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化创新政策落实。建立引导县域创新驱动发展的组织领导体制和工作推进体系，形成市县联动、合力推动创新发展工作的新格局。全面落实中央、省、市关于创新驱动发展系列政策，制定完善激励创新创业工作措施，加大政策培训和科普宣传力度，优化科技创新政策环境。加强县（市、区）科技管理队伍建设，提高科技部门管理和服务能力。支持各县（市、区）制定创新发展规划，在创新平台体系建设、区域科技合作、高层次创新人才引进等方面探索先行先试改革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第十六条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加快科技成果转化。支持各县（市、区）结合本地实际和创新发展需求，</w:t>
      </w:r>
      <w:r>
        <w:rPr>
          <w:rFonts w:hint="eastAsia" w:eastAsia="仿宋_GB2312"/>
          <w:color w:val="auto"/>
          <w:sz w:val="32"/>
          <w:szCs w:val="32"/>
        </w:rPr>
        <w:t>与高校、科研院所合作开展科技成果转移转化，共建研发机构和技术转移服务机构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对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企业购买省外先进技术成果在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本地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转化、产业化，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或本地高校、科研院所、新型研发机构所实施的技术转移转化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按其上年度技术合同成交额给予最高10%不超过100万元的后补助。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第十七条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加大知识产权保护。完善知识产权保护管理体制，加快知识产权强企、强县、强市建设步伐，实施专利导航工程，支持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县（市、区）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对发明专利创造的转化应用，对申请并授权的专利市、县两级财政给以一定奖补，推动有效发明专利拥有量稳步提升。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第十八条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营造良好创新氛围。在引导县（市、区）创新驱动发展中及时发现新典型、总结新模式、探索新机制，注重凝练亮点特色，对涌现的先进典型进行表彰奖励，对成功经验做法大力宣传推广，形成全社会支持县域创新驱动发展、合力共建创新型县（市、区）的良好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"/>
        <w:jc w:val="both"/>
        <w:textAlignment w:val="auto"/>
        <w:rPr>
          <w:rFonts w:hint="default" w:ascii="黑体" w:hAnsi="黑体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"/>
        <w:jc w:val="center"/>
        <w:textAlignment w:val="auto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第六章  开展创新评价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第十九条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建立县域创新能力监测评价工作机制，围绕科技创新重点工作开展创新能力监测评价工作，鼓励引导各县（市、区）提升科技创新能力，推动创新型县（市、区）建设。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 xml:space="preserve">第二十条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价指标。监测评价范围为全市6个县（市、区）、城乡一体化示范区和开发区；评价指标包括科技创新投入、创新主体培育、创新载体建设、创新环境优化四个方面16项评价指标（见附件），强化高质量发展目标导向，赋予指标不同权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第二十一条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价程序。每年3月底前各县（市、区）科技管理部门组织填报本辖区上一年度评价指标数据，并提供相应证明，经审查确认后报市科技局，作为评价激励的重要依据。每年4月底前，由市科技、发改、财政、工信、统计、知识产权等部门联合对各县市区进行实地查验、逐项监测，形成评估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第二十二条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根据评价结果，市政府每年对各县（市、区）工作进行排名，通报监测评价结果，对先进单位予以表彰，优先给予创新驱动发展引导项目支持，排名末位的向市政府作出报告。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第二十三条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本办法自发布之日起实施。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aperSrc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附件：县域科技创新能力监测评价指标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Style w:val="8"/>
          <w:rFonts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</w:rPr>
      </w:pPr>
      <w:r>
        <w:rPr>
          <w:rStyle w:val="8"/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</w:rPr>
        <w:t>附 件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Style w:val="8"/>
          <w:rFonts w:ascii="方正小标宋简体" w:hAnsi="仿宋" w:eastAsia="方正小标宋简体" w:cs="方正小标宋简体"/>
          <w:b w:val="0"/>
          <w:bCs/>
          <w:color w:val="auto"/>
          <w:sz w:val="44"/>
          <w:szCs w:val="44"/>
          <w:shd w:val="clear" w:color="auto" w:fill="FFFFFF"/>
        </w:rPr>
      </w:pPr>
      <w:r>
        <w:rPr>
          <w:rStyle w:val="8"/>
          <w:rFonts w:hint="eastAsia" w:ascii="方正大标宋简体" w:hAnsi="方正大标宋简体" w:eastAsia="方正大标宋简体" w:cs="方正大标宋简体"/>
          <w:b w:val="0"/>
          <w:bCs/>
          <w:color w:val="auto"/>
          <w:sz w:val="44"/>
          <w:szCs w:val="44"/>
          <w:shd w:val="clear" w:color="auto" w:fill="FFFFFF"/>
        </w:rPr>
        <w:t>县域科技创新能力监测评价指标</w:t>
      </w:r>
    </w:p>
    <w:tbl>
      <w:tblPr>
        <w:tblStyle w:val="6"/>
        <w:tblpPr w:leftFromText="180" w:rightFromText="180" w:vertAnchor="text" w:horzAnchor="page" w:tblpXSpec="center" w:tblpY="244"/>
        <w:tblOverlap w:val="never"/>
        <w:tblW w:w="14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892"/>
        <w:gridCol w:w="5007"/>
        <w:gridCol w:w="996"/>
        <w:gridCol w:w="6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229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  <w:t>一级</w:t>
            </w:r>
          </w:p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  <w:t>指标</w:t>
            </w:r>
          </w:p>
        </w:tc>
        <w:tc>
          <w:tcPr>
            <w:tcW w:w="892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5007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  <w:t>二级指标</w:t>
            </w:r>
          </w:p>
        </w:tc>
        <w:tc>
          <w:tcPr>
            <w:tcW w:w="996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  <w:t>权重分值</w:t>
            </w:r>
          </w:p>
        </w:tc>
        <w:tc>
          <w:tcPr>
            <w:tcW w:w="6242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shd w:val="clear" w:color="auto" w:fill="FFFFFF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29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Cs w:val="24"/>
              </w:rPr>
              <w:t>科技</w:t>
            </w:r>
          </w:p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Cs w:val="24"/>
              </w:rPr>
              <w:t>创新</w:t>
            </w:r>
          </w:p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Cs w:val="24"/>
              </w:rPr>
              <w:t>投入</w:t>
            </w:r>
          </w:p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  <w:t>(26%)</w:t>
            </w:r>
          </w:p>
        </w:tc>
        <w:tc>
          <w:tcPr>
            <w:tcW w:w="892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eastAsia="宋体" w:cs="宋体"/>
                <w:b w:val="0"/>
                <w:bCs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bCs/>
                <w:color w:val="auto"/>
                <w:szCs w:val="24"/>
                <w:shd w:val="clear" w:color="auto" w:fill="FFFFFF"/>
              </w:rPr>
              <w:t>1</w:t>
            </w:r>
          </w:p>
        </w:tc>
        <w:tc>
          <w:tcPr>
            <w:tcW w:w="5007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全社会R&amp;D 经费支出占地区GDP 比重（%）</w:t>
            </w:r>
          </w:p>
        </w:tc>
        <w:tc>
          <w:tcPr>
            <w:tcW w:w="996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10</w:t>
            </w:r>
          </w:p>
        </w:tc>
        <w:tc>
          <w:tcPr>
            <w:tcW w:w="6242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≧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2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% (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10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分)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；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2%-1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.0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% (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10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-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5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分)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；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1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.0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%-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0.5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% (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5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-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0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eastAsia="宋体" w:cs="宋体"/>
                <w:b w:val="0"/>
                <w:bCs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bCs/>
                <w:color w:val="auto"/>
                <w:szCs w:val="24"/>
                <w:shd w:val="clear" w:color="auto" w:fill="FFFFFF"/>
              </w:rPr>
              <w:t>2</w:t>
            </w:r>
          </w:p>
        </w:tc>
        <w:tc>
          <w:tcPr>
            <w:tcW w:w="5007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地方财政科技支出占一般公共预算支出的比重（%）</w:t>
            </w:r>
          </w:p>
        </w:tc>
        <w:tc>
          <w:tcPr>
            <w:tcW w:w="996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eastAsia="宋体" w:cs="宋体"/>
                <w:b w:val="0"/>
                <w:color w:val="auto"/>
                <w:kern w:val="2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kern w:val="2"/>
                <w:szCs w:val="24"/>
                <w:shd w:val="clear" w:color="auto" w:fill="FFFFFF"/>
              </w:rPr>
              <w:t>8</w:t>
            </w:r>
          </w:p>
        </w:tc>
        <w:tc>
          <w:tcPr>
            <w:tcW w:w="6242" w:type="dxa"/>
            <w:vAlign w:val="center"/>
          </w:tcPr>
          <w:p>
            <w:pPr>
              <w:pStyle w:val="5"/>
              <w:spacing w:beforeAutospacing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≧2% (8分)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；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2%-1% (8-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4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分)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；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1%-0.5% (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4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-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0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eastAsia="宋体" w:cs="宋体"/>
                <w:b w:val="0"/>
                <w:bCs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bCs/>
                <w:color w:val="auto"/>
                <w:szCs w:val="24"/>
                <w:shd w:val="clear" w:color="auto" w:fill="FFFFFF"/>
              </w:rPr>
              <w:t>3</w:t>
            </w:r>
          </w:p>
        </w:tc>
        <w:tc>
          <w:tcPr>
            <w:tcW w:w="5007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企业研发投入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地方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财政配套补助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落实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比例（%）</w:t>
            </w:r>
          </w:p>
        </w:tc>
        <w:tc>
          <w:tcPr>
            <w:tcW w:w="996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eastAsia="宋体" w:cs="宋体"/>
                <w:b w:val="0"/>
                <w:color w:val="auto"/>
                <w:kern w:val="2"/>
                <w:szCs w:val="24"/>
                <w:shd w:val="clear" w:color="auto" w:fill="FFFFFF"/>
              </w:rPr>
            </w:pPr>
            <w:r>
              <w:rPr>
                <w:rStyle w:val="8"/>
                <w:rFonts w:hint="eastAsia" w:cs="宋体"/>
                <w:b w:val="0"/>
                <w:color w:val="auto"/>
                <w:kern w:val="2"/>
                <w:szCs w:val="24"/>
                <w:shd w:val="clear" w:color="auto" w:fill="FFFFFF"/>
              </w:rPr>
              <w:t>8</w:t>
            </w:r>
          </w:p>
        </w:tc>
        <w:tc>
          <w:tcPr>
            <w:tcW w:w="6242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100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%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配套落实得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8分。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29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  <w:t>创新</w:t>
            </w:r>
          </w:p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  <w:t>主体</w:t>
            </w:r>
          </w:p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  <w:t>培育</w:t>
            </w:r>
          </w:p>
          <w:p>
            <w:pPr>
              <w:pStyle w:val="5"/>
              <w:spacing w:before="0" w:beforeAutospacing="0" w:after="0" w:afterAutospacing="0"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szCs w:val="24"/>
                <w:shd w:val="clear" w:color="auto" w:fill="FFFFFF"/>
              </w:rPr>
              <w:t>(30%)</w:t>
            </w: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高新技术产业产值占规模以上工业增加值比重（%）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≧40% (6分)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；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40%-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3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0% (6-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4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分)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；3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0%-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0% (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4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-2分)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；2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0%以下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不得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年度新认定或复审认定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高新技术企业数（家）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每新认定1家得2分，最高得8分，县（市、区）无奖补减半得分。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年度新增创新龙头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企业数（家）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每家3分，最高得6分。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科技型中小企业数量（家）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每家0.5分，最高得6分。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列入市级以上重大创新专项（个）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列为市级每项2分，省级每项4分，最高得4分。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229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平台</w:t>
            </w:r>
          </w:p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载体</w:t>
            </w:r>
          </w:p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建设</w:t>
            </w:r>
          </w:p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（23%）</w:t>
            </w: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kern w:val="0"/>
                <w:sz w:val="24"/>
                <w:szCs w:val="24"/>
                <w:shd w:val="clear" w:color="auto" w:fill="FFFFFF"/>
              </w:rPr>
              <w:t>省级以上创新</w:t>
            </w:r>
            <w:r>
              <w:rPr>
                <w:rStyle w:val="8"/>
                <w:rFonts w:hint="eastAsia" w:ascii="宋体" w:hAnsi="宋体" w:cs="宋体"/>
                <w:b w:val="0"/>
                <w:color w:val="auto"/>
                <w:kern w:val="0"/>
                <w:sz w:val="24"/>
                <w:szCs w:val="24"/>
                <w:shd w:val="clear" w:color="auto" w:fill="FFFFFF"/>
              </w:rPr>
              <w:t>载体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kern w:val="0"/>
                <w:sz w:val="24"/>
                <w:szCs w:val="24"/>
                <w:shd w:val="clear" w:color="auto" w:fill="FFFFFF"/>
              </w:rPr>
              <w:t>建设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cs="宋体"/>
                <w:b w:val="0"/>
                <w:color w:val="auto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242" w:type="dxa"/>
            <w:vAlign w:val="center"/>
          </w:tcPr>
          <w:p>
            <w:pPr>
              <w:pStyle w:val="5"/>
              <w:spacing w:before="0" w:beforeAutospacing="0" w:after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国家级高新区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5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分,省级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3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，市级高新特色园区1分；</w:t>
            </w:r>
          </w:p>
          <w:p>
            <w:pPr>
              <w:pStyle w:val="5"/>
              <w:spacing w:before="0" w:beforeAutospacing="0" w:after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国家级可持续发展实验区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4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分,省级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2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；</w:t>
            </w:r>
          </w:p>
          <w:p>
            <w:pPr>
              <w:pStyle w:val="5"/>
              <w:spacing w:before="0" w:beforeAutospacing="0" w:after="0" w:afterAutospacing="0" w:line="280" w:lineRule="exact"/>
              <w:jc w:val="both"/>
              <w:rPr>
                <w:rStyle w:val="8"/>
                <w:rFonts w:eastAsia="宋体" w:cs="宋体"/>
                <w:b w:val="0"/>
                <w:color w:val="auto"/>
                <w:szCs w:val="24"/>
                <w:shd w:val="clear" w:color="auto" w:fill="FFFFFF"/>
              </w:rPr>
            </w:pP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国家级农业科技园区每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个3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分,省级每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个</w:t>
            </w:r>
            <w:r>
              <w:rPr>
                <w:rStyle w:val="8"/>
                <w:rFonts w:hint="eastAsia" w:eastAsia="宋体" w:cs="宋体"/>
                <w:b w:val="0"/>
                <w:color w:val="auto"/>
                <w:szCs w:val="24"/>
                <w:shd w:val="clear" w:color="auto" w:fill="FFFFFF"/>
              </w:rPr>
              <w:t>1分</w:t>
            </w:r>
            <w:r>
              <w:rPr>
                <w:rStyle w:val="8"/>
                <w:rFonts w:hint="eastAsia" w:cs="宋体"/>
                <w:b w:val="0"/>
                <w:color w:val="auto"/>
                <w:szCs w:val="24"/>
                <w:shd w:val="clear" w:color="auto" w:fill="FFFFFF"/>
              </w:rPr>
              <w:t>；</w:t>
            </w:r>
          </w:p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shd w:val="clear" w:color="auto" w:fill="FFFFFF"/>
              </w:rPr>
              <w:t>最高</w:t>
            </w:r>
            <w:r>
              <w:rPr>
                <w:rStyle w:val="8"/>
                <w:rFonts w:hint="eastAsia" w:ascii="宋体" w:hAnsi="宋体" w:cs="宋体"/>
                <w:b w:val="0"/>
                <w:color w:val="auto"/>
                <w:sz w:val="24"/>
                <w:szCs w:val="24"/>
                <w:shd w:val="clear" w:color="auto" w:fill="FFFFFF"/>
              </w:rPr>
              <w:t>得</w:t>
            </w:r>
            <w:r>
              <w:rPr>
                <w:rStyle w:val="8"/>
                <w:rFonts w:hint="eastAsia" w:cs="宋体"/>
                <w:b w:val="0"/>
                <w:color w:val="auto"/>
                <w:sz w:val="24"/>
                <w:szCs w:val="24"/>
                <w:shd w:val="clear" w:color="auto" w:fill="FFFFFF"/>
              </w:rPr>
              <w:t>8</w:t>
            </w:r>
            <w:r>
              <w:rPr>
                <w:rStyle w:val="8"/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shd w:val="clear" w:color="auto" w:fill="FFFFFF"/>
              </w:rPr>
              <w:t>分</w:t>
            </w:r>
            <w:r>
              <w:rPr>
                <w:rStyle w:val="8"/>
                <w:rFonts w:hint="eastAsia" w:ascii="宋体" w:hAnsi="宋体" w:cs="宋体"/>
                <w:b w:val="0"/>
                <w:color w:val="auto"/>
                <w:sz w:val="24"/>
                <w:szCs w:val="24"/>
                <w:shd w:val="clear" w:color="auto" w:fill="FFFFFF"/>
              </w:rPr>
              <w:t>，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县（市、区）无奖补减半得分。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市级以上重点实验室数量（个）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国家级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重点实验室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每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个3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分,省级每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个2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，市级每个1分，最高得5分，县（市、区）无奖补减半得分。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市级以上工程（技术）研究中心数量（个）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国家级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工程技术研究中心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每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个3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分,省级每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个2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，市级每个1分，最高得5分，县（市、区）无奖补减半得分。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shd w:val="clear" w:color="auto" w:fill="FFFFFF"/>
              </w:rPr>
              <w:t>1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院士工作站、孵化器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、众创空间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等省级以上创新平台建设情况（个）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国家级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创新平台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每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个3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分,省级每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个2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，最高得5分，县（市、区）无奖补减半得分。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229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创新</w:t>
            </w:r>
          </w:p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环境</w:t>
            </w:r>
          </w:p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优化</w:t>
            </w:r>
          </w:p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(21%)</w:t>
            </w: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创新驱动发展政策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落实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情况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加强科技创新工作组织领导，成立创新工作领导小组1分；落实并制定创新驱动发展系列政策1分；出台配套奖补措施1分；每年开展政策培训、科普宣传活动1分；科技管理部门机构健全1分；人员编制配置到位1分。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科技成果转移转化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新建创新创业服务机构或研发机构每个得2分，最高得6分。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万人有效发明专利拥有量（件/万人）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≧2件/万人(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4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分)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；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2-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1.5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件/万人(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4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分)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；1.5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1.0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件/万人(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分)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29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人才（团队）项目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国家级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人才项目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每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个3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分,省级每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个2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，市级每个1分，最高得5分，县（市、区）无奖补减半得分。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229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加分项（10）</w:t>
            </w:r>
          </w:p>
        </w:tc>
        <w:tc>
          <w:tcPr>
            <w:tcW w:w="892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007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创先争优及获得奖励情况</w:t>
            </w:r>
          </w:p>
        </w:tc>
        <w:tc>
          <w:tcPr>
            <w:tcW w:w="996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242" w:type="dxa"/>
            <w:vAlign w:val="center"/>
          </w:tcPr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国家级科技奖每项3分,省级每项2分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,市级每项1分；</w:t>
            </w:r>
          </w:p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国家级通报表彰每项3分,省部级每项2分,市级每项1分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；</w:t>
            </w:r>
          </w:p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科技创新工作特色亮点被省级领导批示得2分，市级领导批示得1分，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其他部门行业奖励和表彰酌情得分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；</w:t>
            </w:r>
          </w:p>
          <w:p>
            <w:pPr>
              <w:widowControl/>
              <w:spacing w:line="280" w:lineRule="exact"/>
              <w:rPr>
                <w:rStyle w:val="8"/>
                <w:rFonts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最多不超过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10</w:t>
            </w:r>
            <w:r>
              <w:rPr>
                <w:rStyle w:val="8"/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分</w:t>
            </w:r>
            <w:r>
              <w:rPr>
                <w:rStyle w:val="8"/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。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300" w:lineRule="exact"/>
        <w:jc w:val="both"/>
        <w:rPr>
          <w:rStyle w:val="8"/>
          <w:rFonts w:asciiTheme="minorEastAsia" w:hAnsiTheme="minorEastAsia" w:cstheme="minorEastAsia"/>
          <w:b w:val="0"/>
          <w:color w:val="auto"/>
          <w:sz w:val="21"/>
          <w:szCs w:val="21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hAnsi="仿宋_GB2312" w:eastAsia="仿宋_GB2312" w:cs="仿宋_GB2312"/>
          <w:color w:val="auto"/>
          <w:sz w:val="18"/>
          <w:szCs w:val="18"/>
        </w:rPr>
      </w:pPr>
    </w:p>
    <w:sectPr>
      <w:footerReference r:id="rId5" w:type="first"/>
      <w:footerReference r:id="rId4" w:type="default"/>
      <w:pgSz w:w="16838" w:h="11906" w:orient="landscape"/>
      <w:pgMar w:top="1304" w:right="1304" w:bottom="1304" w:left="1304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sdt>
                <w:sdtPr>
                  <w:id w:val="708214"/>
                </w:sdtPr>
                <w:sdt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jc w:val="center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/>
        <w:sz w:val="28"/>
        <w:szCs w:val="28"/>
      </w:rPr>
    </w:pPr>
    <w:r>
      <w:rPr>
        <w:sz w:val="28"/>
      </w:rPr>
      <w:pict>
        <v:shape id="_x0000_s3074" o:spid="_x0000_s3074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instrText xml:space="preserve">PAGE   \* MERGEFORMAT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  <w:lang w:val="zh-CN"/>
                  </w:rPr>
                  <w:t>-</w: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t xml:space="preserve"> 7 -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3075" o:spid="_x0000_s3075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- 7 -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B9FD6"/>
    <w:multiLevelType w:val="singleLevel"/>
    <w:tmpl w:val="23FB9FD6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60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67990"/>
    <w:rsid w:val="00012BEF"/>
    <w:rsid w:val="000275F8"/>
    <w:rsid w:val="00050357"/>
    <w:rsid w:val="0005644D"/>
    <w:rsid w:val="0006520D"/>
    <w:rsid w:val="00101275"/>
    <w:rsid w:val="00174ADA"/>
    <w:rsid w:val="001B4461"/>
    <w:rsid w:val="002C6236"/>
    <w:rsid w:val="0035144B"/>
    <w:rsid w:val="00373886"/>
    <w:rsid w:val="0042745E"/>
    <w:rsid w:val="00486E9E"/>
    <w:rsid w:val="0050045B"/>
    <w:rsid w:val="005137CE"/>
    <w:rsid w:val="005263C8"/>
    <w:rsid w:val="005478BD"/>
    <w:rsid w:val="00577163"/>
    <w:rsid w:val="00586B19"/>
    <w:rsid w:val="00586B67"/>
    <w:rsid w:val="00597E5A"/>
    <w:rsid w:val="005F2D17"/>
    <w:rsid w:val="005F666C"/>
    <w:rsid w:val="006176A3"/>
    <w:rsid w:val="0065366E"/>
    <w:rsid w:val="006545AA"/>
    <w:rsid w:val="00673C53"/>
    <w:rsid w:val="006D6A7F"/>
    <w:rsid w:val="007118E5"/>
    <w:rsid w:val="00751F64"/>
    <w:rsid w:val="00843145"/>
    <w:rsid w:val="00844F05"/>
    <w:rsid w:val="009D6707"/>
    <w:rsid w:val="00A67990"/>
    <w:rsid w:val="00A744C2"/>
    <w:rsid w:val="00A764F9"/>
    <w:rsid w:val="00AD2CB4"/>
    <w:rsid w:val="00B2185D"/>
    <w:rsid w:val="00B218D2"/>
    <w:rsid w:val="00B375DB"/>
    <w:rsid w:val="00B810EA"/>
    <w:rsid w:val="00BE2D60"/>
    <w:rsid w:val="00BF288D"/>
    <w:rsid w:val="00C22966"/>
    <w:rsid w:val="00CA2E40"/>
    <w:rsid w:val="00CC185B"/>
    <w:rsid w:val="00D30562"/>
    <w:rsid w:val="00D312FF"/>
    <w:rsid w:val="00D50A09"/>
    <w:rsid w:val="00D81AF8"/>
    <w:rsid w:val="00D92AB8"/>
    <w:rsid w:val="00E0393C"/>
    <w:rsid w:val="00E53586"/>
    <w:rsid w:val="00E93C1E"/>
    <w:rsid w:val="00E96A12"/>
    <w:rsid w:val="00EE78F8"/>
    <w:rsid w:val="00F54A07"/>
    <w:rsid w:val="00F83DE5"/>
    <w:rsid w:val="00FE0A4F"/>
    <w:rsid w:val="053059C9"/>
    <w:rsid w:val="073D6F82"/>
    <w:rsid w:val="085C656B"/>
    <w:rsid w:val="0C2305D6"/>
    <w:rsid w:val="10113503"/>
    <w:rsid w:val="13420547"/>
    <w:rsid w:val="15822847"/>
    <w:rsid w:val="22DD1E99"/>
    <w:rsid w:val="25D41047"/>
    <w:rsid w:val="2D8E676F"/>
    <w:rsid w:val="2F764FB9"/>
    <w:rsid w:val="3074491E"/>
    <w:rsid w:val="32000758"/>
    <w:rsid w:val="37745F81"/>
    <w:rsid w:val="38C05F24"/>
    <w:rsid w:val="39D1485D"/>
    <w:rsid w:val="3CBD02F3"/>
    <w:rsid w:val="3F3E2E02"/>
    <w:rsid w:val="42F94082"/>
    <w:rsid w:val="43A22FB4"/>
    <w:rsid w:val="49121ABA"/>
    <w:rsid w:val="4A241C33"/>
    <w:rsid w:val="4D8E4BE8"/>
    <w:rsid w:val="52B02336"/>
    <w:rsid w:val="534F596E"/>
    <w:rsid w:val="56BB7BE1"/>
    <w:rsid w:val="5CB77B61"/>
    <w:rsid w:val="60CA522E"/>
    <w:rsid w:val="62255CFF"/>
    <w:rsid w:val="659E5BE0"/>
    <w:rsid w:val="686515A0"/>
    <w:rsid w:val="69420711"/>
    <w:rsid w:val="705007A8"/>
    <w:rsid w:val="718D6DAF"/>
    <w:rsid w:val="732A5477"/>
    <w:rsid w:val="747019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99"/>
    <w:rPr>
      <w:rFonts w:cs="Times New Roman"/>
      <w:b/>
    </w:rPr>
  </w:style>
  <w:style w:type="character" w:styleId="9">
    <w:name w:val="FollowedHyperlink"/>
    <w:basedOn w:val="7"/>
    <w:semiHidden/>
    <w:unhideWhenUsed/>
    <w:qFormat/>
    <w:uiPriority w:val="99"/>
    <w:rPr>
      <w:color w:val="444444"/>
      <w:sz w:val="18"/>
      <w:szCs w:val="18"/>
      <w:u w:val="none"/>
    </w:rPr>
  </w:style>
  <w:style w:type="character" w:styleId="10">
    <w:name w:val="Hyperlink"/>
    <w:basedOn w:val="7"/>
    <w:semiHidden/>
    <w:unhideWhenUsed/>
    <w:qFormat/>
    <w:uiPriority w:val="99"/>
    <w:rPr>
      <w:color w:val="444444"/>
      <w:sz w:val="18"/>
      <w:szCs w:val="18"/>
      <w:u w:val="none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  <customShpInfo spid="_x0000_s3074"/>
    <customShpInfo spid="_x0000_s307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627</Words>
  <Characters>3574</Characters>
  <Lines>29</Lines>
  <Paragraphs>8</Paragraphs>
  <TotalTime>3</TotalTime>
  <ScaleCrop>false</ScaleCrop>
  <LinksUpToDate>false</LinksUpToDate>
  <CharactersWithSpaces>4193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2019-05-13T01:06:00Z</dcterms:created>
  <dc:creator>dreamsummit</dc:creator>
  <cp:lastModifiedBy>Administrator</cp:lastModifiedBy>
  <cp:lastPrinted>2019-12-16T01:31:24Z</cp:lastPrinted>
  <dcterms:modified xsi:type="dcterms:W3CDTF">2019-12-16T01:31:57Z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